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E2F8" w14:textId="77777777" w:rsidR="00AA2F5C" w:rsidRPr="00AA2F5C" w:rsidRDefault="00AA2F5C" w:rsidP="00AA2F5C">
      <w:pPr>
        <w:jc w:val="center"/>
        <w:rPr>
          <w:rFonts w:ascii="Sepehr" w:hAnsi="Sepehr" w:hint="cs"/>
          <w:b/>
          <w:bCs/>
          <w:color w:val="000000"/>
          <w:sz w:val="32"/>
          <w:szCs w:val="32"/>
          <w:rtl/>
        </w:rPr>
      </w:pPr>
      <w:r w:rsidRPr="00AA2F5C">
        <w:rPr>
          <w:rFonts w:ascii="Sepehr" w:hAnsi="Sepehr" w:hint="cs"/>
          <w:b/>
          <w:bCs/>
          <w:color w:val="000000"/>
          <w:sz w:val="32"/>
          <w:szCs w:val="32"/>
          <w:rtl/>
        </w:rPr>
        <w:t>پیوست</w:t>
      </w:r>
      <w:r w:rsidRPr="00AA2F5C">
        <w:rPr>
          <w:rFonts w:ascii="Sepehr" w:hAnsi="Sepehr" w:hint="eastAsia"/>
          <w:b/>
          <w:bCs/>
          <w:color w:val="000000"/>
          <w:sz w:val="32"/>
          <w:szCs w:val="32"/>
          <w:rtl/>
        </w:rPr>
        <w:t>‌</w:t>
      </w:r>
      <w:r w:rsidRPr="00AA2F5C">
        <w:rPr>
          <w:rFonts w:ascii="Sepehr" w:hAnsi="Sepehr" w:hint="cs"/>
          <w:b/>
          <w:bCs/>
          <w:color w:val="000000"/>
          <w:sz w:val="32"/>
          <w:szCs w:val="32"/>
          <w:rtl/>
        </w:rPr>
        <w:t>ها</w:t>
      </w:r>
    </w:p>
    <w:p w14:paraId="1A8F17F1" w14:textId="77777777" w:rsidR="00AA2F5C" w:rsidRPr="00AA2F5C" w:rsidRDefault="00AA2F5C" w:rsidP="00AA2F5C">
      <w:pPr>
        <w:spacing w:line="300" w:lineRule="auto"/>
        <w:rPr>
          <w:rFonts w:ascii="Sepehr" w:hAnsi="Sepehr" w:hint="cs"/>
          <w:b/>
          <w:bCs/>
          <w:color w:val="000000"/>
          <w:sz w:val="32"/>
          <w:szCs w:val="32"/>
          <w:rtl/>
        </w:rPr>
      </w:pPr>
    </w:p>
    <w:p w14:paraId="7E9635D7" w14:textId="77777777" w:rsidR="00AA2F5C" w:rsidRPr="00AA2F5C" w:rsidRDefault="00AA2F5C" w:rsidP="00AA2F5C">
      <w:pPr>
        <w:jc w:val="lowKashida"/>
        <w:rPr>
          <w:rFonts w:hint="cs"/>
          <w:i/>
          <w:iCs/>
        </w:rPr>
      </w:pPr>
      <w:r w:rsidRPr="00AA2F5C">
        <w:rPr>
          <w:rFonts w:hint="cs"/>
          <w:b/>
          <w:bCs/>
          <w:rtl/>
        </w:rPr>
        <w:t>پیوست (1):  عملیات لیزینگ</w:t>
      </w:r>
    </w:p>
    <w:p w14:paraId="639C6945" w14:textId="77777777" w:rsidR="00AA2F5C" w:rsidRPr="00AA2F5C" w:rsidRDefault="00AA2F5C" w:rsidP="00AA2F5C">
      <w:pPr>
        <w:jc w:val="lowKashida"/>
        <w:rPr>
          <w:rFonts w:hint="cs"/>
          <w:i/>
          <w:iCs/>
          <w:rtl/>
        </w:rPr>
      </w:pPr>
      <w:r w:rsidRPr="00AA2F5C">
        <w:rPr>
          <w:rFonts w:hint="cs"/>
          <w:i/>
          <w:iCs/>
          <w:rtl/>
        </w:rPr>
        <w:t xml:space="preserve">چنانچه هدف برنامۀ طراحی شده اجرای عملیات لیزینگ </w:t>
      </w:r>
      <w:r w:rsidRPr="00AA2F5C">
        <w:rPr>
          <w:rFonts w:hint="eastAsia"/>
          <w:i/>
          <w:iCs/>
          <w:rtl/>
        </w:rPr>
        <w:t>می</w:t>
      </w:r>
      <w:r w:rsidRPr="00AA2F5C">
        <w:rPr>
          <w:rFonts w:hint="cs"/>
          <w:i/>
          <w:iCs/>
          <w:rtl/>
        </w:rPr>
        <w:t>‌باشد، شرکت باید اطلاعات تکمیلی را مطابق با جداول این بخش تنظیم و در قسمت مربوطه در داخل گزارش ارائه نماید.</w:t>
      </w:r>
    </w:p>
    <w:p w14:paraId="027F7920" w14:textId="77777777" w:rsidR="00AA2F5C" w:rsidRPr="00AA2F5C" w:rsidRDefault="00AA2F5C" w:rsidP="00AA2F5C">
      <w:pPr>
        <w:spacing w:before="120"/>
        <w:jc w:val="lowKashida"/>
        <w:rPr>
          <w:rFonts w:hint="cs"/>
          <w:b/>
          <w:bCs/>
          <w:rtl/>
        </w:rPr>
      </w:pPr>
      <w:r w:rsidRPr="00AA2F5C">
        <w:rPr>
          <w:rFonts w:hint="cs"/>
          <w:b/>
          <w:bCs/>
          <w:rtl/>
        </w:rPr>
        <w:t>پیوست (2): عملیات بانکداری</w:t>
      </w:r>
    </w:p>
    <w:p w14:paraId="6F567A2B" w14:textId="77777777" w:rsidR="00AA2F5C" w:rsidRPr="00AA2F5C" w:rsidRDefault="00AA2F5C" w:rsidP="00AA2F5C">
      <w:pPr>
        <w:jc w:val="lowKashida"/>
        <w:rPr>
          <w:rFonts w:hint="cs"/>
          <w:i/>
          <w:iCs/>
          <w:rtl/>
        </w:rPr>
      </w:pPr>
      <w:r w:rsidRPr="00AA2F5C">
        <w:rPr>
          <w:rFonts w:hint="cs"/>
          <w:i/>
          <w:iCs/>
          <w:rtl/>
        </w:rPr>
        <w:t xml:space="preserve">چنانچه هدف برنامۀ طراحی شده اجرای عملیات بانکداری </w:t>
      </w:r>
      <w:r w:rsidRPr="00AA2F5C">
        <w:rPr>
          <w:rFonts w:hint="eastAsia"/>
          <w:i/>
          <w:iCs/>
          <w:rtl/>
        </w:rPr>
        <w:t>می</w:t>
      </w:r>
      <w:r w:rsidRPr="00AA2F5C">
        <w:rPr>
          <w:rFonts w:hint="cs"/>
          <w:i/>
          <w:iCs/>
          <w:rtl/>
        </w:rPr>
        <w:t>‌باشد، شرکت باید اطلاعات تکمیلی را مطابق با جداول این بخش تنظیم و در قسمت مربوطه در داخل گزارش ارائه نماید.</w:t>
      </w:r>
    </w:p>
    <w:p w14:paraId="6399B0A4" w14:textId="77777777" w:rsidR="00AA2F5C" w:rsidRPr="00AA2F5C" w:rsidRDefault="00AA2F5C" w:rsidP="00AA2F5C">
      <w:pPr>
        <w:spacing w:before="120"/>
        <w:jc w:val="lowKashida"/>
        <w:rPr>
          <w:rFonts w:hint="cs"/>
          <w:b/>
          <w:bCs/>
          <w:rtl/>
        </w:rPr>
      </w:pPr>
      <w:r w:rsidRPr="00AA2F5C">
        <w:rPr>
          <w:rFonts w:hint="cs"/>
          <w:b/>
          <w:bCs/>
          <w:rtl/>
        </w:rPr>
        <w:t>پیوست (3): جزئیات مطالبات مبنای انتشار اوراق</w:t>
      </w:r>
    </w:p>
    <w:p w14:paraId="1A1A7F70" w14:textId="6B4123DF" w:rsidR="00AA2F5C" w:rsidRPr="00AA2F5C" w:rsidRDefault="00AA2F5C" w:rsidP="00AA2F5C">
      <w:pPr>
        <w:jc w:val="lowKashida"/>
        <w:rPr>
          <w:rFonts w:hint="cs"/>
          <w:i/>
          <w:iCs/>
          <w:rtl/>
        </w:rPr>
      </w:pPr>
      <w:r w:rsidRPr="00AA2F5C">
        <w:rPr>
          <w:rFonts w:hint="cs"/>
          <w:i/>
          <w:iCs/>
          <w:rtl/>
        </w:rPr>
        <w:t xml:space="preserve">شماره و تاریخ و حسب مورد سایر اطلاعات مشخص‌کنندۀ تسهیلات مبنای انتشار اوراق و تسهیلات ذخیره جهت جایگزینی در صورت تصفیۀ پیش از موعد تسهیلات قبل از انتشار اوراق در انتهای گزارش ارائه گردد. </w:t>
      </w:r>
    </w:p>
    <w:p w14:paraId="0597A8D5" w14:textId="77777777" w:rsidR="00AA2F5C" w:rsidRPr="00AA2F5C" w:rsidRDefault="00AA2F5C" w:rsidP="00AA2F5C">
      <w:pPr>
        <w:spacing w:line="300" w:lineRule="auto"/>
        <w:jc w:val="lowKashida"/>
        <w:rPr>
          <w:rFonts w:ascii="Sepehr" w:hAnsi="Sepehr" w:hint="cs"/>
          <w:color w:val="000000"/>
          <w:sz w:val="28"/>
          <w:szCs w:val="28"/>
          <w:rtl/>
        </w:rPr>
      </w:pPr>
    </w:p>
    <w:p w14:paraId="2634AF40" w14:textId="77777777" w:rsidR="00AA2F5C" w:rsidRPr="00AA2F5C" w:rsidRDefault="00AA2F5C" w:rsidP="00AA2F5C">
      <w:pPr>
        <w:spacing w:line="300" w:lineRule="auto"/>
        <w:jc w:val="lowKashida"/>
        <w:rPr>
          <w:rFonts w:ascii="Sepehr" w:hAnsi="Sepehr"/>
          <w:color w:val="000000"/>
          <w:sz w:val="28"/>
          <w:szCs w:val="28"/>
        </w:rPr>
        <w:sectPr w:rsidR="00AA2F5C" w:rsidRPr="00AA2F5C" w:rsidSect="00A1631B">
          <w:headerReference w:type="default" r:id="rId7"/>
          <w:pgSz w:w="11907" w:h="16840" w:code="9"/>
          <w:pgMar w:top="1134" w:right="1701" w:bottom="1134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2"/>
          <w:cols w:space="720"/>
          <w:rtlGutter/>
          <w:docGrid w:linePitch="326"/>
        </w:sectPr>
      </w:pPr>
    </w:p>
    <w:p w14:paraId="4E33E2BF" w14:textId="77777777" w:rsidR="00AA2F5C" w:rsidRPr="00AA2F5C" w:rsidRDefault="00AA2F5C" w:rsidP="00AA2F5C">
      <w:pPr>
        <w:spacing w:before="120"/>
        <w:jc w:val="center"/>
        <w:rPr>
          <w:rFonts w:hint="cs"/>
          <w:b/>
          <w:bCs/>
          <w:u w:val="single"/>
          <w:rtl/>
        </w:rPr>
      </w:pPr>
      <w:r w:rsidRPr="00AA2F5C">
        <w:rPr>
          <w:rFonts w:hint="cs"/>
          <w:b/>
          <w:bCs/>
          <w:u w:val="single"/>
          <w:rtl/>
        </w:rPr>
        <w:lastRenderedPageBreak/>
        <w:t>پیوست (1): عملیات لیزینگ</w:t>
      </w:r>
    </w:p>
    <w:p w14:paraId="378E9194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7373AC96" w14:textId="77777777" w:rsidR="00AA2F5C" w:rsidRPr="00AA2F5C" w:rsidRDefault="00AA2F5C" w:rsidP="00AA2F5C">
      <w:pPr>
        <w:tabs>
          <w:tab w:val="left" w:pos="2086"/>
        </w:tabs>
        <w:spacing w:before="120"/>
        <w:jc w:val="lowKashida"/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t>تسهیلات پرداختی و سود اقساط</w:t>
      </w:r>
    </w:p>
    <w:p w14:paraId="37B0DDD2" w14:textId="77777777" w:rsidR="00AA2F5C" w:rsidRPr="00AA2F5C" w:rsidRDefault="00AA2F5C" w:rsidP="00AA2F5C">
      <w:pPr>
        <w:jc w:val="lowKashida"/>
        <w:rPr>
          <w:rFonts w:hint="cs"/>
          <w:sz w:val="28"/>
          <w:szCs w:val="28"/>
          <w:rtl/>
        </w:rPr>
      </w:pPr>
      <w:r w:rsidRPr="00AA2F5C">
        <w:rPr>
          <w:sz w:val="28"/>
          <w:szCs w:val="28"/>
          <w:rtl/>
        </w:rPr>
        <w:t>تسه</w:t>
      </w:r>
      <w:r w:rsidRPr="00AA2F5C">
        <w:rPr>
          <w:rFonts w:hint="cs"/>
          <w:sz w:val="28"/>
          <w:szCs w:val="28"/>
          <w:rtl/>
        </w:rPr>
        <w:t>ی</w:t>
      </w:r>
      <w:r w:rsidRPr="00AA2F5C">
        <w:rPr>
          <w:rFonts w:hint="eastAsia"/>
          <w:sz w:val="28"/>
          <w:szCs w:val="28"/>
          <w:rtl/>
        </w:rPr>
        <w:t>لات</w:t>
      </w:r>
      <w:r w:rsidRPr="00AA2F5C">
        <w:rPr>
          <w:sz w:val="28"/>
          <w:szCs w:val="28"/>
          <w:rtl/>
        </w:rPr>
        <w:t xml:space="preserve"> پرداخت</w:t>
      </w:r>
      <w:r w:rsidRPr="00AA2F5C">
        <w:rPr>
          <w:rFonts w:hint="cs"/>
          <w:sz w:val="28"/>
          <w:szCs w:val="28"/>
          <w:rtl/>
        </w:rPr>
        <w:t>ی</w:t>
      </w:r>
      <w:r w:rsidRPr="00AA2F5C">
        <w:rPr>
          <w:sz w:val="28"/>
          <w:szCs w:val="28"/>
          <w:rtl/>
        </w:rPr>
        <w:t xml:space="preserve"> و </w:t>
      </w:r>
      <w:r w:rsidRPr="00AA2F5C">
        <w:rPr>
          <w:rFonts w:hint="cs"/>
          <w:sz w:val="28"/>
          <w:szCs w:val="28"/>
          <w:rtl/>
        </w:rPr>
        <w:t>سود اقساط طی سال مالی گذشته به‌شرح زیر می‌باشد.</w:t>
      </w:r>
    </w:p>
    <w:p w14:paraId="173A875A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tbl>
      <w:tblPr>
        <w:bidiVisual/>
        <w:tblW w:w="14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3"/>
        <w:gridCol w:w="1566"/>
        <w:gridCol w:w="1384"/>
        <w:gridCol w:w="2097"/>
        <w:gridCol w:w="1456"/>
        <w:gridCol w:w="2309"/>
        <w:gridCol w:w="1540"/>
        <w:tblGridChange w:id="0">
          <w:tblGrid>
            <w:gridCol w:w="4363"/>
            <w:gridCol w:w="1566"/>
            <w:gridCol w:w="1384"/>
            <w:gridCol w:w="2097"/>
            <w:gridCol w:w="1456"/>
            <w:gridCol w:w="2309"/>
            <w:gridCol w:w="1540"/>
          </w:tblGrid>
        </w:tblGridChange>
      </w:tblGrid>
      <w:tr w:rsidR="00AA2F5C" w:rsidRPr="00AA2F5C" w14:paraId="4D9513BB" w14:textId="77777777" w:rsidTr="00960BE9">
        <w:trPr>
          <w:trHeight w:val="485"/>
          <w:jc w:val="center"/>
        </w:trPr>
        <w:tc>
          <w:tcPr>
            <w:tcW w:w="43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B6734CE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منابع تأمین مالی تسهیلات پرداختی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6183A7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 xml:space="preserve">تعداد تسهیلات 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50455B8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مبلغ هر وام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59223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دوران اقساط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082DAC3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نرخ تسهیلات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0F11CE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سود اقساط دریافت شده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2AD0B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سود اقساط آتی (مورد انتظار)</w:t>
            </w:r>
          </w:p>
        </w:tc>
      </w:tr>
      <w:tr w:rsidR="00AA2F5C" w:rsidRPr="00AA2F5C" w14:paraId="76CF2D70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2C95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22735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6DC9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7A745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CEDB0B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604D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E5AA9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11DEE4D3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F0AD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EA16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22F670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54F07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9AE86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21D4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9AAEB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3F929215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D28FA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9CCB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091A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FA9F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7AEA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46C1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C2F735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13233C15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B03B2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C9BC3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46BA9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0EB34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BF425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2098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38071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5838E647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49A9D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6C6097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23561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86B0B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372F1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60C2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DE22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13EBE1BF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706EA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00FFA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5D39F4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548F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DFBCA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11AB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BEB3A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2C389FFF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00F6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9C23B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3AF0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2F51B4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5E20E8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15F2B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CA3E7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11198643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ED3A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E980B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FC7D7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654D6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56BA0A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BDAC4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44F78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2F5C" w:rsidRPr="00AA2F5C" w14:paraId="5748322B" w14:textId="77777777" w:rsidTr="00960BE9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407FC0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5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71A03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1B87E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938F49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90D337B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A7CC69A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DC08B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7B990F6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74FAF213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5A25B265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7339B151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07546E75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4D1E460F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1D729933" w14:textId="77777777" w:rsidR="00AA2F5C" w:rsidRPr="00AA2F5C" w:rsidRDefault="00AA2F5C" w:rsidP="00AA2F5C">
      <w:pPr>
        <w:spacing w:before="120"/>
        <w:jc w:val="lowKashida"/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t>پیش</w:t>
      </w:r>
      <w:r w:rsidRPr="00AA2F5C">
        <w:rPr>
          <w:rFonts w:hint="eastAsia"/>
          <w:b/>
          <w:bCs/>
          <w:sz w:val="28"/>
          <w:szCs w:val="28"/>
          <w:rtl/>
        </w:rPr>
        <w:t>‌</w:t>
      </w:r>
      <w:r w:rsidRPr="00AA2F5C">
        <w:rPr>
          <w:rFonts w:hint="cs"/>
          <w:b/>
          <w:bCs/>
          <w:sz w:val="28"/>
          <w:szCs w:val="28"/>
          <w:rtl/>
        </w:rPr>
        <w:t>بینی تسهیلات پرداختی و سود اقساط</w:t>
      </w:r>
    </w:p>
    <w:p w14:paraId="506BF4A5" w14:textId="77777777" w:rsidR="00AA2F5C" w:rsidRPr="00AA2F5C" w:rsidRDefault="00AA2F5C" w:rsidP="00AA2F5C">
      <w:pPr>
        <w:jc w:val="lowKashida"/>
        <w:rPr>
          <w:rFonts w:hint="cs"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پیش‌بینی جزییات تسهیلات پرداختی و سود آن برای سال مالی جاری و سال</w:t>
      </w:r>
      <w:r w:rsidRPr="00AA2F5C">
        <w:rPr>
          <w:rFonts w:hint="eastAsia"/>
          <w:sz w:val="28"/>
          <w:szCs w:val="28"/>
          <w:rtl/>
        </w:rPr>
        <w:t>‌های</w:t>
      </w:r>
      <w:r w:rsidRPr="00AA2F5C">
        <w:rPr>
          <w:rFonts w:hint="cs"/>
          <w:sz w:val="28"/>
          <w:szCs w:val="28"/>
          <w:rtl/>
        </w:rPr>
        <w:t xml:space="preserve"> مالی آتی تا زمان پایان عمر اوراق با فرض انجام و عدم انجام طرح تأمین مالی به‌شرح زیر می‌باشد.</w:t>
      </w:r>
    </w:p>
    <w:p w14:paraId="589543D8" w14:textId="77777777" w:rsidR="00AA2F5C" w:rsidRPr="00AA2F5C" w:rsidRDefault="00AA2F5C" w:rsidP="00AA2F5C">
      <w:pPr>
        <w:jc w:val="lowKashida"/>
        <w:rPr>
          <w:rFonts w:hint="cs"/>
          <w:sz w:val="28"/>
          <w:szCs w:val="28"/>
          <w:rtl/>
        </w:rPr>
      </w:pPr>
    </w:p>
    <w:tbl>
      <w:tblPr>
        <w:bidiVisual/>
        <w:tblW w:w="13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"/>
        <w:gridCol w:w="1109"/>
        <w:gridCol w:w="3170"/>
        <w:gridCol w:w="1372"/>
        <w:gridCol w:w="1985"/>
        <w:gridCol w:w="1285"/>
        <w:gridCol w:w="1415"/>
        <w:gridCol w:w="2438"/>
      </w:tblGrid>
      <w:tr w:rsidR="00AA2F5C" w:rsidRPr="00AA2F5C" w14:paraId="5BCE385F" w14:textId="77777777" w:rsidTr="00960BE9">
        <w:trPr>
          <w:trHeight w:val="485"/>
          <w:jc w:val="center"/>
        </w:trPr>
        <w:tc>
          <w:tcPr>
            <w:tcW w:w="48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58908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محل تامین مالی تسهیلات پرداختی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DAC994D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تعداد تسهیلات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82034E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مبلغ هر وام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C58334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دوران اقساط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4740C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نرخ تسهیلات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8BDDF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سود اقساط آتی (مورد انتظار)</w:t>
            </w:r>
          </w:p>
        </w:tc>
      </w:tr>
      <w:tr w:rsidR="00AA2F5C" w:rsidRPr="00AA2F5C" w14:paraId="4E7CAEA2" w14:textId="77777777" w:rsidTr="00960BE9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1557BD7" w14:textId="1F768A3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  <w:lang w:val="en-GB"/>
              </w:rPr>
              <w:t>1*1</w:t>
            </w:r>
            <w:r>
              <w:rPr>
                <w:rFonts w:hint="cs"/>
                <w:b/>
                <w:bCs/>
                <w:color w:val="000000"/>
                <w:rtl/>
                <w:lang w:val="en-GB"/>
              </w:rPr>
              <w:t>4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77CAD17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انجام طرح </w:t>
            </w:r>
          </w:p>
        </w:tc>
        <w:tc>
          <w:tcPr>
            <w:tcW w:w="3170" w:type="dxa"/>
            <w:tcBorders>
              <w:top w:val="single" w:sz="12" w:space="0" w:color="auto"/>
              <w:bottom w:val="single" w:sz="6" w:space="0" w:color="auto"/>
            </w:tcBorders>
          </w:tcPr>
          <w:p w14:paraId="250917DC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6" w:space="0" w:color="auto"/>
            </w:tcBorders>
          </w:tcPr>
          <w:p w14:paraId="68E517D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37D10A9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6" w:space="0" w:color="auto"/>
            </w:tcBorders>
          </w:tcPr>
          <w:p w14:paraId="6990417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6" w:space="0" w:color="auto"/>
            </w:tcBorders>
          </w:tcPr>
          <w:p w14:paraId="5E2D0AD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6" w:space="0" w:color="auto"/>
            </w:tcBorders>
          </w:tcPr>
          <w:p w14:paraId="010596F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99DDDDB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0446C33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BF79C5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534CDAE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5C3689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24908E0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58A4565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39208C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046674D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04752505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85514C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30A86DC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5E46FB9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79F093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7B304F6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762070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56B4091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53CD424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1C2E5A74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D19E84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5F03C1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C3D16F7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EA6E3C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37E738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5241C6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5563558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5ED4939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43F58E50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950C4C5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A998EFB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عدم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00F3616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29AA9F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277E0A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4BF2DBD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EE877C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7748EE9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9AA9AF9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E61784B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C5097EF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7AE1789F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6DD72E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88F085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524124A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827724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0C5811A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098C889F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10811BC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D9D1383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0E028DF7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130CFC7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743F5DB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3DFB1D8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65A9B5F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AB6955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7427E71E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F61F6F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C4BDB8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5310795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4FCB48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DA73B6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39E780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11701C7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1501766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3F8A52CC" w14:textId="77777777" w:rsidTr="00960BE9">
        <w:trPr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9DA4F5A" w14:textId="3D2EED43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2*1</w:t>
            </w: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723077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5E1220F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8E4998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4E1AD9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0CDA83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0CBB137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7FE6424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7C67898D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897393F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C7BF743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5AC982D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FADEA4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E01235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1CB4DAE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613FA3A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175B9D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230D24C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B14F09E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D5FA3C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391A1275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842E93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79F9031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60F7B68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1A2370E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5CAE34E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355EA81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600668E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86B313A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34C372A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DED2FD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F50D59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B1F128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62172EA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2E663D9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5F0B02C2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2121B20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BA7604E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عدم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5F268DB0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51694C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2E57134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5D8A607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0A42D8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557405B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4B3D8BF5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475B3CD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27FABD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6EF63C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8D427C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E05FC1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16A5DF0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46A822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5103E9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F45EEE7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32F07D4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E4C10FB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1734332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89BC51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AE6219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9A248F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1D6C3D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1722DB5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4A7E97FF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8EADA47" w14:textId="7777777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4C49EC6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160BE8A0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1E7FBA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BAEBC2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197495E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8A8B80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BA8EC5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363AEE0E" w14:textId="77777777" w:rsidTr="00960BE9">
        <w:trPr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599F0DE" w14:textId="018AD30C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  <w:lang w:val="en-GB"/>
              </w:rPr>
            </w:pPr>
            <w:r w:rsidRPr="00AA2F5C">
              <w:rPr>
                <w:rFonts w:hint="cs"/>
                <w:b/>
                <w:bCs/>
                <w:color w:val="000000"/>
                <w:rtl/>
                <w:lang w:val="en-GB"/>
              </w:rPr>
              <w:t>3*</w:t>
            </w:r>
            <w:r>
              <w:rPr>
                <w:rFonts w:hint="cs"/>
                <w:b/>
                <w:bCs/>
                <w:color w:val="000000"/>
                <w:rtl/>
                <w:lang w:val="en-GB"/>
              </w:rPr>
              <w:t>14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DBA6FAF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45B49F0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1D30735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6C509A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300FFE9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0A7E10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73704CB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6226E8B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DCB5B24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D74359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7E37CC12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D9CCAE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321874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8500DA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227BAF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93CA21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0637D9BC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1F7BAD0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7C6A21E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0A46299A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0B69E1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8DC759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C98A88D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078722F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655D77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5C0E9ED3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7A8AB2F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CBBF229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145B855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ABD598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D1FDF1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6ABF444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46AB7BD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BB9A57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749DDEF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7EFEC81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A50E14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عدم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5BDE9D5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64799F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3EAF79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6828572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6EA47F6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7B9A05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07DBCDA4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7D404F9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BCF948E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582EC18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2AA82CC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0C9F8B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F57C0C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548B578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00A9A99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162FC4D2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66CC082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521F57B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2D3655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2E44B5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B2B4F6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791F37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536F0E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17C5B14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B283B19" w14:textId="77777777" w:rsidTr="00960BE9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419E6AB4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757060FE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12" w:space="0" w:color="auto"/>
            </w:tcBorders>
          </w:tcPr>
          <w:p w14:paraId="7345D5CC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12" w:space="0" w:color="auto"/>
            </w:tcBorders>
          </w:tcPr>
          <w:p w14:paraId="5927F81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6D660D8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12" w:space="0" w:color="auto"/>
            </w:tcBorders>
          </w:tcPr>
          <w:p w14:paraId="7F21FF8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12" w:space="0" w:color="auto"/>
            </w:tcBorders>
          </w:tcPr>
          <w:p w14:paraId="5655F32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12" w:space="0" w:color="auto"/>
            </w:tcBorders>
          </w:tcPr>
          <w:p w14:paraId="3A5F0AA5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</w:rPr>
            </w:pPr>
          </w:p>
        </w:tc>
      </w:tr>
      <w:tr w:rsidR="00AA2F5C" w:rsidRPr="00AA2F5C" w14:paraId="0B335628" w14:textId="77777777" w:rsidTr="00960BE9">
        <w:trPr>
          <w:trHeight w:val="70"/>
          <w:jc w:val="center"/>
        </w:trPr>
        <w:tc>
          <w:tcPr>
            <w:tcW w:w="48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1702226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5DACD38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FFA6C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ADDF88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86549F0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D2347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B7CF45A" w14:textId="77777777" w:rsidR="00AA2F5C" w:rsidRPr="00AA2F5C" w:rsidRDefault="00AA2F5C" w:rsidP="00AA2F5C">
      <w:pPr>
        <w:rPr>
          <w:rFonts w:hint="cs"/>
          <w:sz w:val="28"/>
          <w:szCs w:val="28"/>
          <w:rtl/>
        </w:rPr>
        <w:sectPr w:rsidR="00AA2F5C" w:rsidRPr="00AA2F5C" w:rsidSect="00A1631B">
          <w:headerReference w:type="default" r:id="rId8"/>
          <w:pgSz w:w="16840" w:h="11907" w:orient="landscape" w:code="9"/>
          <w:pgMar w:top="1134" w:right="1134" w:bottom="1077" w:left="72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13B706E7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lastRenderedPageBreak/>
        <w:t>درآمد حاصل از ارائه خدمات</w:t>
      </w:r>
    </w:p>
    <w:p w14:paraId="6F90761A" w14:textId="77777777" w:rsidR="00AA2F5C" w:rsidRPr="00AA2F5C" w:rsidRDefault="00AA2F5C" w:rsidP="00AA2F5C">
      <w:pPr>
        <w:jc w:val="both"/>
        <w:rPr>
          <w:rFonts w:hint="cs"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پیش</w:t>
      </w:r>
      <w:r w:rsidRPr="00AA2F5C">
        <w:rPr>
          <w:rFonts w:hint="eastAsia"/>
          <w:sz w:val="28"/>
          <w:szCs w:val="28"/>
          <w:rtl/>
        </w:rPr>
        <w:t>‌</w:t>
      </w:r>
      <w:r w:rsidRPr="00AA2F5C">
        <w:rPr>
          <w:rFonts w:hint="cs"/>
          <w:sz w:val="28"/>
          <w:szCs w:val="28"/>
          <w:rtl/>
        </w:rPr>
        <w:t>بینی درآمد حاصل از قراردادهای اجاره به شرط تملیک یا فروش اقساطی و سایر درآمدها برای سال مالی جاری و سال</w:t>
      </w:r>
      <w:r w:rsidRPr="00AA2F5C">
        <w:rPr>
          <w:rFonts w:hint="eastAsia"/>
          <w:sz w:val="28"/>
          <w:szCs w:val="28"/>
          <w:rtl/>
        </w:rPr>
        <w:t>‌های</w:t>
      </w:r>
      <w:r w:rsidRPr="00AA2F5C">
        <w:rPr>
          <w:rFonts w:hint="cs"/>
          <w:sz w:val="28"/>
          <w:szCs w:val="28"/>
          <w:rtl/>
        </w:rPr>
        <w:t xml:space="preserve"> مالی آتی با فرض انجام و عدم انجام طرح به شرح زیر می</w:t>
      </w:r>
      <w:r w:rsidRPr="00AA2F5C">
        <w:rPr>
          <w:rFonts w:hint="eastAsia"/>
          <w:sz w:val="28"/>
          <w:szCs w:val="28"/>
          <w:rtl/>
        </w:rPr>
        <w:t>‌</w:t>
      </w:r>
      <w:r w:rsidRPr="00AA2F5C">
        <w:rPr>
          <w:rFonts w:hint="cs"/>
          <w:sz w:val="28"/>
          <w:szCs w:val="28"/>
          <w:rtl/>
        </w:rPr>
        <w:t>باشد:</w:t>
      </w:r>
    </w:p>
    <w:p w14:paraId="140FA767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tbl>
      <w:tblPr>
        <w:bidiVisual/>
        <w:tblW w:w="11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9"/>
        <w:gridCol w:w="1440"/>
        <w:gridCol w:w="1440"/>
        <w:gridCol w:w="1440"/>
        <w:gridCol w:w="1440"/>
        <w:gridCol w:w="1440"/>
        <w:gridCol w:w="1360"/>
      </w:tblGrid>
      <w:tr w:rsidR="00AA2F5C" w:rsidRPr="00AA2F5C" w14:paraId="131F24B2" w14:textId="77777777" w:rsidTr="00960BE9">
        <w:trPr>
          <w:trHeight w:val="485"/>
          <w:jc w:val="center"/>
        </w:trPr>
        <w:tc>
          <w:tcPr>
            <w:tcW w:w="253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95D9E2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D4872D" w14:textId="36A19676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1*1</w:t>
            </w: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652752F" w14:textId="1509C21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2*1</w:t>
            </w: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664983" w14:textId="4B298E89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3*1</w:t>
            </w: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AA2F5C" w:rsidRPr="00AA2F5C" w14:paraId="6FDCBC6A" w14:textId="77777777" w:rsidTr="00960BE9">
        <w:trPr>
          <w:trHeight w:val="485"/>
          <w:jc w:val="center"/>
        </w:trPr>
        <w:tc>
          <w:tcPr>
            <w:tcW w:w="253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CF8F1E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1B22C32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5639C8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عدم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F3694C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1B78ED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عدم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FB00A7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انجام طرح 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654D784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color w:val="000000"/>
                <w:sz w:val="20"/>
                <w:szCs w:val="20"/>
                <w:rtl/>
              </w:rPr>
              <w:t xml:space="preserve">با فرض عدم انجام طرح </w:t>
            </w:r>
          </w:p>
        </w:tc>
      </w:tr>
      <w:tr w:rsidR="00AA2F5C" w:rsidRPr="00AA2F5C" w14:paraId="32E25D0B" w14:textId="77777777" w:rsidTr="00960BE9">
        <w:trPr>
          <w:jc w:val="center"/>
        </w:trPr>
        <w:tc>
          <w:tcPr>
            <w:tcW w:w="2539" w:type="dxa"/>
            <w:tcBorders>
              <w:top w:val="single" w:sz="12" w:space="0" w:color="auto"/>
              <w:bottom w:val="single" w:sz="6" w:space="0" w:color="auto"/>
            </w:tcBorders>
          </w:tcPr>
          <w:p w14:paraId="02352A12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4C9B95E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07D1D26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1782697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01154AE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28E77B1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6" w:space="0" w:color="auto"/>
            </w:tcBorders>
          </w:tcPr>
          <w:p w14:paraId="536A5F9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115ACC85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311832BC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85F119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231B52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7FF6BF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CDDB18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FF171B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3CA497A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EE22549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6364BE8A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AEEA52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041932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EB7AA9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718581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BF95B0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6825029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54FFBE05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74BD6311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08E85A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6A92E1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35A999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5C4647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A4F253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1954605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3EF7FA7F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7229A14D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21DFED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3C7096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5BF7E5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E5EC0F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41DE37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09ACA30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7AC684DA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4A51ACA2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A589C2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46BE4E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A385B9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F1F61C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1F74E5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4786004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2BFF770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2CE39B34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2C5E50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CF0B7F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9CDE72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B28AE9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2BE82E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61B11D5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2E80464" w14:textId="77777777" w:rsidTr="00960BE9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12" w:space="0" w:color="auto"/>
            </w:tcBorders>
          </w:tcPr>
          <w:p w14:paraId="79846A30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7EA9FD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2F038E7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367D596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01DA922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39262A6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12" w:space="0" w:color="auto"/>
            </w:tcBorders>
          </w:tcPr>
          <w:p w14:paraId="08348BE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3C04468B" w14:textId="77777777" w:rsidTr="00960BE9">
        <w:trPr>
          <w:jc w:val="center"/>
        </w:trPr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FD6A9C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EFCD4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A3A25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98CE1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827D97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CEAD8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E310B1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B132016" w14:textId="77777777" w:rsidR="00AA2F5C" w:rsidRPr="00AA2F5C" w:rsidRDefault="00AA2F5C" w:rsidP="00AA2F5C">
      <w:pPr>
        <w:rPr>
          <w:rFonts w:hint="cs"/>
          <w:rtl/>
        </w:rPr>
      </w:pPr>
    </w:p>
    <w:p w14:paraId="77C29A72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7FABF8ED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0379A37F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6C81FB4D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5192B3B4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0404EE9D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4C42B7EE" w14:textId="77777777" w:rsidR="00AA2F5C" w:rsidRPr="00AA2F5C" w:rsidRDefault="00AA2F5C" w:rsidP="00AA2F5C">
      <w:pPr>
        <w:spacing w:before="120"/>
        <w:jc w:val="center"/>
        <w:rPr>
          <w:rFonts w:hint="cs"/>
          <w:b/>
          <w:bCs/>
          <w:u w:val="single"/>
          <w:rtl/>
        </w:rPr>
      </w:pPr>
      <w:r w:rsidRPr="00AA2F5C">
        <w:rPr>
          <w:sz w:val="28"/>
          <w:szCs w:val="28"/>
          <w:rtl/>
        </w:rPr>
        <w:br w:type="page"/>
      </w:r>
      <w:r w:rsidRPr="00AA2F5C">
        <w:rPr>
          <w:rFonts w:hint="cs"/>
          <w:b/>
          <w:bCs/>
          <w:u w:val="single"/>
          <w:rtl/>
        </w:rPr>
        <w:lastRenderedPageBreak/>
        <w:t>پیوست (2): عملیات بانکداری</w:t>
      </w:r>
    </w:p>
    <w:p w14:paraId="3696F676" w14:textId="77777777" w:rsidR="00AA2F5C" w:rsidRPr="00AA2F5C" w:rsidRDefault="00AA2F5C" w:rsidP="00AA2F5C">
      <w:pPr>
        <w:spacing w:before="120"/>
        <w:jc w:val="lowKashida"/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t>تسهیلات اعطایی و سود تسهیلات اعطایی</w:t>
      </w:r>
    </w:p>
    <w:p w14:paraId="5879CDE7" w14:textId="77777777" w:rsidR="00AA2F5C" w:rsidRPr="00AA2F5C" w:rsidRDefault="00AA2F5C" w:rsidP="00AA2F5C">
      <w:pPr>
        <w:jc w:val="lowKashida"/>
        <w:rPr>
          <w:rFonts w:hint="cs"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پیش‌بینی جزئیات سود و ماندة تسهیلات اعطایی برای دو سال مالی آتی با فرض انجام و عدم انجام طرح به‌شرح زیر می‌باشد.</w:t>
      </w:r>
    </w:p>
    <w:tbl>
      <w:tblPr>
        <w:bidiVisual/>
        <w:tblW w:w="15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2"/>
        <w:gridCol w:w="1202"/>
        <w:gridCol w:w="2463"/>
        <w:gridCol w:w="1568"/>
        <w:gridCol w:w="1241"/>
        <w:gridCol w:w="1626"/>
        <w:gridCol w:w="956"/>
        <w:gridCol w:w="1217"/>
        <w:gridCol w:w="1270"/>
        <w:gridCol w:w="1036"/>
        <w:gridCol w:w="1008"/>
        <w:gridCol w:w="900"/>
      </w:tblGrid>
      <w:tr w:rsidR="00AA2F5C" w:rsidRPr="00AA2F5C" w14:paraId="7B3660A3" w14:textId="77777777" w:rsidTr="00960BE9">
        <w:trPr>
          <w:trHeight w:val="504"/>
          <w:jc w:val="center"/>
        </w:trPr>
        <w:tc>
          <w:tcPr>
            <w:tcW w:w="436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DD0A3B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شرح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DE682D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فروش اقساطی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4F7205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جعاله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ED60454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اجاره به شرط تملیک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70F48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سلف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622CDF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مضاربه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603FA8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مشارکت مدنی</w:t>
            </w: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76BEEF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خرید دین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87CBCA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سایر تسهیلات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A1CCB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جمع</w:t>
            </w:r>
          </w:p>
        </w:tc>
      </w:tr>
      <w:tr w:rsidR="00AA2F5C" w:rsidRPr="00AA2F5C" w14:paraId="5D2DFA87" w14:textId="77777777" w:rsidTr="00960BE9">
        <w:trPr>
          <w:jc w:val="center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0265236" w14:textId="71228036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  <w:t>1*</w:t>
            </w:r>
            <w:r w:rsidR="00340A05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  <w:t>14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92CCB58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با فرض انجام طرح 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6" w:space="0" w:color="auto"/>
            </w:tcBorders>
          </w:tcPr>
          <w:p w14:paraId="1681ADD6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مانده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6" w:space="0" w:color="auto"/>
            </w:tcBorders>
          </w:tcPr>
          <w:p w14:paraId="07F6AD6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6" w:space="0" w:color="auto"/>
            </w:tcBorders>
          </w:tcPr>
          <w:p w14:paraId="1D6821C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</w:tcPr>
          <w:p w14:paraId="3EE416A6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6" w:space="0" w:color="auto"/>
            </w:tcBorders>
          </w:tcPr>
          <w:p w14:paraId="4F45ABD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12" w:space="0" w:color="auto"/>
              <w:bottom w:val="single" w:sz="6" w:space="0" w:color="auto"/>
            </w:tcBorders>
          </w:tcPr>
          <w:p w14:paraId="3EDECA5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6" w:space="0" w:color="auto"/>
            </w:tcBorders>
          </w:tcPr>
          <w:p w14:paraId="04049CD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6" w:space="0" w:color="auto"/>
            </w:tcBorders>
          </w:tcPr>
          <w:p w14:paraId="40025B1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6" w:space="0" w:color="auto"/>
            </w:tcBorders>
          </w:tcPr>
          <w:p w14:paraId="356C8F6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</w:tcPr>
          <w:p w14:paraId="20C5BE9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773D9BE6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7F0EC0D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09C94DB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120738C7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3A19EC0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0F7FD32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5D4F0E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452A0D4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94B59D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AC193A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4F4A105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6762771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77F3C6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486DBF0F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192CE4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7FF454A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27121222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7B4E6B8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0A81123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14A3689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5BF1638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5684A5C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39D8E52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50DB56B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099B878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EA9F02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4E94A23A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5478E92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5355501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3A0AB24C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4766EA8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523FD32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759422A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4F03712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521906C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2526458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484542B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41CA8E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A8800D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37C3CC63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7206369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09292E6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421A8701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0EB9F82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0F727C6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61BAC7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5EB4801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4DA3B06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1BB421E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6885B91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6D1A923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F67AF7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2748D085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D84CF79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B18492C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با فرض عدم انجام طرح 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0DBBEC56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مانده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7D66606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5B8E36D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79DB096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304CE2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4A663D5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4F4BCD6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A14CFD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7B769E5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0A50F4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6B75E987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F744619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AB20760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3AD19CA2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1672B38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495D9F6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27B9F596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240F3EE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7EDF63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7F0BA04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7C11A1C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B78609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41DEF6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438BBC0F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58CD93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7756ECB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5F281F7C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214CCBA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1A2DF6A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705C197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184AD2C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098544F6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8B33FF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6FAA0C8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69B02F9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71DF6A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34A3DD78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2BA540E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137774D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67E8931F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6060F76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0300473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CB9F60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452068F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07670D2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1770EAC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61EB00E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0F8E4B0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0E10C5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23408573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D741957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9FCE2CA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35954476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3A703DF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F069B3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B7DE02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70C26B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5836BE7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473659C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0B1E68F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8AD2DB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6BE72A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2657F20C" w14:textId="77777777" w:rsidTr="00960BE9">
        <w:trPr>
          <w:jc w:val="center"/>
        </w:trPr>
        <w:tc>
          <w:tcPr>
            <w:tcW w:w="7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D4C4306" w14:textId="199C4BE7" w:rsidR="00AA2F5C" w:rsidRPr="00AA2F5C" w:rsidRDefault="00AA2F5C" w:rsidP="00AA2F5C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2*</w:t>
            </w:r>
            <w:r w:rsidR="00340A0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1B42A7F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با فرض انجام طرح 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27CF4AF1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مانده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567ABC5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3D97552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71AB92C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5E2C0BE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5AD09A2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0FB73EE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03F44716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D57C87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BB192C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7A1B1D8A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6ED7A79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F802BB4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6319779F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630F09C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52F7945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7F021D5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0F2CE07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47AADAF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009F0B0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7075CD9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725D552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19988A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6F3395D7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D4938E8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D1918BC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46D6D943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3B59A7A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98149A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6FF31D9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5CC27A2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BD402D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7F7E4E3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B8C93B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B0AA7D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2D4F7C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05D4D255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084AA0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E2396CB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65CCC33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6112B44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259B6D2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56B724B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4B087F7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00F8D5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0FAD2B0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015873C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395E50A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2496C8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3477DCF5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095BA5B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B1B06BC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6DE0D52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3FB1F76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296C0FF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1AE4F4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07232B2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6B3A8BD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4014BFA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77095B2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3CFBFB0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9DA3D8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4C6AFE65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5646636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7B22333" w14:textId="77777777" w:rsidR="00AA2F5C" w:rsidRPr="00AA2F5C" w:rsidRDefault="00AA2F5C" w:rsidP="00AA2F5C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با فرض عدم انجام طرح 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7FD1F7C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مانده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44ADCE9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5ADB11C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2144FAF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E5CDE79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BCFB4C0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6A56200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0518D876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534E7C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9ABBC7D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3A670EB7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FAE539D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DCA8F98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EF380B9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5E9E367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69D27D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060F039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09092AE6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3FBF5CC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2B56D9A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3DE84DE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400A0C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723FB2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1E6FAD94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EAC4C96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02E29E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30BCB638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52A74E9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780002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0492C29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0D3F0BD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46B5344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30A3827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0BD05CE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5387FB2E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2BBEC9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034533DE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D62C901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1C5F4B9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24A0A03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1D6F06C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4763091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D6044D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313DE09F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DDEF88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DF1E2F5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39CB183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D52C6A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B9AF8B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2477B350" w14:textId="77777777" w:rsidTr="00960BE9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0E390F6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53CE186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12" w:space="0" w:color="auto"/>
            </w:tcBorders>
          </w:tcPr>
          <w:p w14:paraId="0BA485FC" w14:textId="77777777" w:rsidR="00AA2F5C" w:rsidRPr="00AA2F5C" w:rsidRDefault="00AA2F5C" w:rsidP="00AA2F5C">
            <w:pPr>
              <w:rPr>
                <w:rFonts w:hint="cs"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color w:val="000000"/>
                <w:sz w:val="22"/>
                <w:szCs w:val="22"/>
                <w:rtl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12" w:space="0" w:color="auto"/>
            </w:tcBorders>
          </w:tcPr>
          <w:p w14:paraId="41B4BFC8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12" w:space="0" w:color="auto"/>
            </w:tcBorders>
          </w:tcPr>
          <w:p w14:paraId="4E2E2E14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12" w:space="0" w:color="auto"/>
            </w:tcBorders>
          </w:tcPr>
          <w:p w14:paraId="5CAA879C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12" w:space="0" w:color="auto"/>
            </w:tcBorders>
          </w:tcPr>
          <w:p w14:paraId="15215D6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12" w:space="0" w:color="auto"/>
            </w:tcBorders>
          </w:tcPr>
          <w:p w14:paraId="3C097B02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12" w:space="0" w:color="auto"/>
            </w:tcBorders>
          </w:tcPr>
          <w:p w14:paraId="52C0CADA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12" w:space="0" w:color="auto"/>
            </w:tcBorders>
          </w:tcPr>
          <w:p w14:paraId="4932DFD7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12" w:space="0" w:color="auto"/>
            </w:tcBorders>
          </w:tcPr>
          <w:p w14:paraId="3FC2225B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</w:tcPr>
          <w:p w14:paraId="15ACE271" w14:textId="77777777" w:rsidR="00AA2F5C" w:rsidRPr="00AA2F5C" w:rsidRDefault="00AA2F5C" w:rsidP="00AA2F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5C" w:rsidRPr="00AA2F5C" w14:paraId="6D67D5D6" w14:textId="77777777" w:rsidTr="00960BE9">
        <w:trPr>
          <w:trHeight w:val="70"/>
          <w:jc w:val="center"/>
        </w:trPr>
        <w:tc>
          <w:tcPr>
            <w:tcW w:w="436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F26C8A0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AA2F5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جمع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DEB5D5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67D94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080F8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487C7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DCCE6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CE837F1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B6D43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F74C1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2FFF75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364A2" w14:textId="77777777" w:rsidR="00AA2F5C" w:rsidRPr="00AA2F5C" w:rsidRDefault="00AA2F5C" w:rsidP="00AA2F5C">
      <w:pPr>
        <w:rPr>
          <w:b/>
          <w:bCs/>
          <w:rtl/>
        </w:rPr>
        <w:sectPr w:rsidR="00AA2F5C" w:rsidRPr="00AA2F5C" w:rsidSect="00A1631B">
          <w:headerReference w:type="default" r:id="rId9"/>
          <w:pgSz w:w="16840" w:h="11907" w:orient="landscape" w:code="9"/>
          <w:pgMar w:top="1134" w:right="1134" w:bottom="1077" w:left="72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22B8784A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lastRenderedPageBreak/>
        <w:t>سپرده‌های سرمایه‌گذاری</w:t>
      </w:r>
    </w:p>
    <w:p w14:paraId="19EB75C5" w14:textId="77777777" w:rsidR="00AA2F5C" w:rsidRPr="00AA2F5C" w:rsidRDefault="00AA2F5C" w:rsidP="00AA2F5C">
      <w:pPr>
        <w:jc w:val="lowKashida"/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مبلغ سپرده‌های سرمایه‌گذاری سال اخیر و پیش‌بینی آن برای دو سال مالی آتی با فرض انجام طرح و عدم انجام طرح به‌شرح زیر می‌باشد:</w:t>
      </w:r>
    </w:p>
    <w:p w14:paraId="7911B398" w14:textId="77777777" w:rsidR="00AA2F5C" w:rsidRPr="00AA2F5C" w:rsidRDefault="00AA2F5C" w:rsidP="00AA2F5C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0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80"/>
        <w:gridCol w:w="1275"/>
        <w:gridCol w:w="1560"/>
        <w:gridCol w:w="1701"/>
        <w:gridCol w:w="1559"/>
        <w:gridCol w:w="1731"/>
      </w:tblGrid>
      <w:tr w:rsidR="00AA2F5C" w:rsidRPr="00AA2F5C" w14:paraId="638A8AF9" w14:textId="77777777" w:rsidTr="00960BE9">
        <w:trPr>
          <w:trHeight w:val="485"/>
          <w:jc w:val="center"/>
        </w:trPr>
        <w:tc>
          <w:tcPr>
            <w:tcW w:w="27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23D4CA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A72BE9" w14:textId="701FAB18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1*1</w:t>
            </w:r>
            <w:r w:rsidR="00D206C4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4C8460" w14:textId="6251939B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2*1</w:t>
            </w:r>
            <w:r w:rsidR="00D206C4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E7F4519" w14:textId="2A4E334F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3*</w:t>
            </w:r>
            <w:r w:rsidR="00D206C4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</w:tr>
      <w:tr w:rsidR="00AA2F5C" w:rsidRPr="00AA2F5C" w14:paraId="7875F885" w14:textId="77777777" w:rsidTr="00960BE9">
        <w:trPr>
          <w:trHeight w:val="485"/>
          <w:jc w:val="center"/>
        </w:trPr>
        <w:tc>
          <w:tcPr>
            <w:tcW w:w="278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0269D1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58A25E53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098977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انجام طرح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0EB88F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عدم انجام طرح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F2A420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انجام طرح</w:t>
            </w:r>
          </w:p>
        </w:tc>
        <w:tc>
          <w:tcPr>
            <w:tcW w:w="17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8F6080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عدم انجام طرح</w:t>
            </w:r>
          </w:p>
        </w:tc>
      </w:tr>
      <w:tr w:rsidR="00AA2F5C" w:rsidRPr="00AA2F5C" w14:paraId="1ED582C0" w14:textId="77777777" w:rsidTr="00960BE9">
        <w:trPr>
          <w:jc w:val="center"/>
        </w:trPr>
        <w:tc>
          <w:tcPr>
            <w:tcW w:w="2780" w:type="dxa"/>
            <w:tcBorders>
              <w:top w:val="single" w:sz="12" w:space="0" w:color="auto"/>
              <w:bottom w:val="single" w:sz="6" w:space="0" w:color="auto"/>
            </w:tcBorders>
          </w:tcPr>
          <w:p w14:paraId="60CC0757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سپرده‌های سرمایه‌گذاری بلندمدت: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</w:tcPr>
          <w:p w14:paraId="0E428CB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14:paraId="2A1D28D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BB48A3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182705B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bottom w:val="single" w:sz="6" w:space="0" w:color="auto"/>
            </w:tcBorders>
          </w:tcPr>
          <w:p w14:paraId="2C1438D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78E1750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0005AFC9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یک‌ساله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5354FB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93F107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2366B04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5850C2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4C2FF9C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4ECCE645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512157F7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دو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7387AE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CCF66B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BA3D41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70D5CB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16AB905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1D93D4F7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25AAB34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سه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0AD100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A4B9BF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31ABA6B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1271BE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74668F4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1AF16131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4B5DBB81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چهار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5EF316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447520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F238C7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1CFD57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4D3C3CB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57FB6FAD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392A5730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پنج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85FA3B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81907D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734F755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554C2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4557E51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6DBFF851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63F82A05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سپرده‌های سرمایه‌گذاری کوتاه‌مدت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270EA6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0DDD43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923883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32E7DD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699E020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53EA9333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12" w:space="0" w:color="auto"/>
            </w:tcBorders>
          </w:tcPr>
          <w:p w14:paraId="78A62359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سپرده‌های کوتاه</w:t>
            </w:r>
            <w:r w:rsidRPr="00AA2F5C">
              <w:rPr>
                <w:rFonts w:hint="eastAsia"/>
                <w:color w:val="000000"/>
                <w:rtl/>
              </w:rPr>
              <w:t>‌</w:t>
            </w:r>
            <w:r w:rsidRPr="00AA2F5C">
              <w:rPr>
                <w:rFonts w:hint="cs"/>
                <w:color w:val="000000"/>
                <w:rtl/>
              </w:rPr>
              <w:t>مدت ویژه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</w:tcPr>
          <w:p w14:paraId="18A70B2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14:paraId="5B6316A7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0368F5D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6CAAEAA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12" w:space="0" w:color="auto"/>
            </w:tcBorders>
          </w:tcPr>
          <w:p w14:paraId="73F9DEF0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7381D538" w14:textId="77777777" w:rsidTr="00960BE9">
        <w:trPr>
          <w:jc w:val="center"/>
        </w:trPr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91DE8A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B739321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BE03CD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8BEF5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6A66A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7F1D4E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6DDB8BB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</w:p>
    <w:p w14:paraId="1304D3A6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t>سود سپرده‌های سرمایه‌گذاری</w:t>
      </w:r>
    </w:p>
    <w:p w14:paraId="3B38487E" w14:textId="77777777" w:rsidR="00AA2F5C" w:rsidRPr="00AA2F5C" w:rsidRDefault="00AA2F5C" w:rsidP="00AA2F5C">
      <w:pPr>
        <w:jc w:val="both"/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نرخ سود پرداختی به سپرده‌های سرمایه‌گذاری سال اخیر و پیش‌بینی آن برای دو سال مالی آتی با فرض انجام طرح و عدم انجام طرح به‌شرح زیر می‌باشد:</w:t>
      </w:r>
    </w:p>
    <w:tbl>
      <w:tblPr>
        <w:bidiVisual/>
        <w:tblW w:w="10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80"/>
        <w:gridCol w:w="1275"/>
        <w:gridCol w:w="1560"/>
        <w:gridCol w:w="1701"/>
        <w:gridCol w:w="1559"/>
        <w:gridCol w:w="1731"/>
      </w:tblGrid>
      <w:tr w:rsidR="00AA2F5C" w:rsidRPr="00AA2F5C" w14:paraId="78A1F3E8" w14:textId="77777777" w:rsidTr="00960BE9">
        <w:trPr>
          <w:trHeight w:val="485"/>
          <w:jc w:val="center"/>
        </w:trPr>
        <w:tc>
          <w:tcPr>
            <w:tcW w:w="27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941E4A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FEE0DE5" w14:textId="0271D592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1*1</w:t>
            </w:r>
            <w:r w:rsidR="002A77C4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97F69E" w14:textId="7A2410CC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2*1</w:t>
            </w:r>
            <w:r w:rsidR="002A77C4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2DCB894" w14:textId="64696EE2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3*1</w:t>
            </w:r>
            <w:r w:rsidR="002A77C4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AA2F5C" w:rsidRPr="00AA2F5C" w14:paraId="185A626E" w14:textId="77777777" w:rsidTr="00960BE9">
        <w:trPr>
          <w:trHeight w:val="485"/>
          <w:jc w:val="center"/>
        </w:trPr>
        <w:tc>
          <w:tcPr>
            <w:tcW w:w="278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8170BEE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2731A505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6947886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انجام طرح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8E07FFF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عدم انجام طرح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79B593D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انجام طرح</w:t>
            </w:r>
          </w:p>
        </w:tc>
        <w:tc>
          <w:tcPr>
            <w:tcW w:w="17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BB5FE2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با فرض عدم انجام طرح</w:t>
            </w:r>
          </w:p>
        </w:tc>
      </w:tr>
      <w:tr w:rsidR="00AA2F5C" w:rsidRPr="00AA2F5C" w14:paraId="3E75DCF6" w14:textId="77777777" w:rsidTr="00960BE9">
        <w:trPr>
          <w:jc w:val="center"/>
        </w:trPr>
        <w:tc>
          <w:tcPr>
            <w:tcW w:w="2780" w:type="dxa"/>
            <w:tcBorders>
              <w:top w:val="single" w:sz="12" w:space="0" w:color="auto"/>
              <w:bottom w:val="single" w:sz="6" w:space="0" w:color="auto"/>
            </w:tcBorders>
          </w:tcPr>
          <w:p w14:paraId="5E7EDD37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سپرده‌های سرمایه‌گذاری بلندمدت: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</w:tcPr>
          <w:p w14:paraId="43F97D3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14:paraId="554598F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6A09605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4C0EC8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bottom w:val="single" w:sz="6" w:space="0" w:color="auto"/>
            </w:tcBorders>
          </w:tcPr>
          <w:p w14:paraId="783FB0F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AD27005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4AAA975E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یک‌ساله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D7DCE5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E6277C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1299539A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F28F3A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0118ADD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090A5284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662031E7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دو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C27583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C6F86A1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2D8C89C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38DA4F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6BFDF76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06AC578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6C0C48B9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سه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E4ED8F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1E5799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7B760F6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B3A1784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7EA52433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7240527A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3B2659B2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چهار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94BD7FB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DA99B9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EC3B14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47593B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0DB19F7E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9226A7C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28A90AE2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پنج ساله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8133D9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52FB51C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243BD6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BC6D8A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7672B1F8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0B1BE8CB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</w:tcPr>
          <w:p w14:paraId="285BE666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سپرده‌های سرمایه‌گذاری کوتاه‌مدت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8A2983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0B75D69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5876BA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739855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6" w:space="0" w:color="auto"/>
            </w:tcBorders>
          </w:tcPr>
          <w:p w14:paraId="04BE144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491EA020" w14:textId="77777777" w:rsidTr="00960BE9">
        <w:trPr>
          <w:jc w:val="center"/>
        </w:trPr>
        <w:tc>
          <w:tcPr>
            <w:tcW w:w="2780" w:type="dxa"/>
            <w:tcBorders>
              <w:top w:val="single" w:sz="6" w:space="0" w:color="auto"/>
              <w:bottom w:val="single" w:sz="12" w:space="0" w:color="auto"/>
            </w:tcBorders>
          </w:tcPr>
          <w:p w14:paraId="48BE6BCB" w14:textId="77777777" w:rsidR="00AA2F5C" w:rsidRPr="00AA2F5C" w:rsidRDefault="00AA2F5C" w:rsidP="00AA2F5C">
            <w:pPr>
              <w:rPr>
                <w:rFonts w:hint="cs"/>
                <w:color w:val="000000"/>
              </w:rPr>
            </w:pPr>
            <w:r w:rsidRPr="00AA2F5C">
              <w:rPr>
                <w:rFonts w:hint="cs"/>
                <w:color w:val="000000"/>
                <w:rtl/>
              </w:rPr>
              <w:t>سپرده‌های کوتاه</w:t>
            </w:r>
            <w:r w:rsidRPr="00AA2F5C">
              <w:rPr>
                <w:rFonts w:hint="eastAsia"/>
                <w:color w:val="000000"/>
                <w:rtl/>
              </w:rPr>
              <w:t>‌</w:t>
            </w:r>
            <w:r w:rsidRPr="00AA2F5C">
              <w:rPr>
                <w:rFonts w:hint="cs"/>
                <w:color w:val="000000"/>
                <w:rtl/>
              </w:rPr>
              <w:t>مدت ویژه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</w:tcPr>
          <w:p w14:paraId="4C3A1F7D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14:paraId="6CD6E8F5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0BB3E416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0F41D4D2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bottom w:val="single" w:sz="12" w:space="0" w:color="auto"/>
            </w:tcBorders>
          </w:tcPr>
          <w:p w14:paraId="6B8E31EF" w14:textId="77777777" w:rsidR="00AA2F5C" w:rsidRPr="00AA2F5C" w:rsidRDefault="00AA2F5C" w:rsidP="00AA2F5C">
            <w:pPr>
              <w:jc w:val="center"/>
              <w:rPr>
                <w:color w:val="000000"/>
              </w:rPr>
            </w:pPr>
          </w:p>
        </w:tc>
      </w:tr>
      <w:tr w:rsidR="00AA2F5C" w:rsidRPr="00AA2F5C" w14:paraId="22CF4730" w14:textId="77777777" w:rsidTr="00960BE9">
        <w:trPr>
          <w:jc w:val="center"/>
        </w:trPr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6F1C0AB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379402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9FF94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2C020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566E1B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CAD80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4EAB576" w14:textId="77777777" w:rsidR="00AA2F5C" w:rsidRPr="00AA2F5C" w:rsidRDefault="00AA2F5C" w:rsidP="00AA2F5C">
      <w:pPr>
        <w:jc w:val="both"/>
        <w:rPr>
          <w:rFonts w:hint="cs"/>
          <w:b/>
          <w:bCs/>
          <w:sz w:val="28"/>
          <w:szCs w:val="28"/>
          <w:rtl/>
        </w:rPr>
      </w:pPr>
    </w:p>
    <w:p w14:paraId="3B402C1C" w14:textId="77777777" w:rsidR="00AA2F5C" w:rsidRPr="00AA2F5C" w:rsidRDefault="00AA2F5C" w:rsidP="00AA2F5C">
      <w:pPr>
        <w:jc w:val="lowKashida"/>
        <w:rPr>
          <w:rFonts w:hint="cs"/>
          <w:b/>
          <w:bCs/>
          <w:sz w:val="10"/>
          <w:szCs w:val="10"/>
          <w:rtl/>
        </w:rPr>
      </w:pPr>
    </w:p>
    <w:p w14:paraId="27E90983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</w:p>
    <w:p w14:paraId="321EAA2D" w14:textId="77777777" w:rsidR="00AA2F5C" w:rsidRPr="00AA2F5C" w:rsidRDefault="00AA2F5C" w:rsidP="00AA2F5C">
      <w:pPr>
        <w:jc w:val="lowKashida"/>
        <w:rPr>
          <w:rFonts w:hint="cs"/>
          <w:i/>
          <w:iCs/>
          <w:sz w:val="22"/>
          <w:szCs w:val="22"/>
          <w:rtl/>
        </w:rPr>
      </w:pPr>
    </w:p>
    <w:p w14:paraId="5D73540B" w14:textId="77777777" w:rsidR="00AA2F5C" w:rsidRPr="00AA2F5C" w:rsidRDefault="00AA2F5C" w:rsidP="00AA2F5C">
      <w:pPr>
        <w:jc w:val="lowKashida"/>
        <w:rPr>
          <w:rFonts w:hint="cs"/>
          <w:i/>
          <w:iCs/>
          <w:sz w:val="22"/>
          <w:szCs w:val="22"/>
          <w:rtl/>
        </w:rPr>
      </w:pPr>
    </w:p>
    <w:p w14:paraId="2C6BFFB7" w14:textId="77777777" w:rsidR="00AA2F5C" w:rsidRPr="00AA2F5C" w:rsidRDefault="00AA2F5C" w:rsidP="00AA2F5C">
      <w:pPr>
        <w:jc w:val="lowKashida"/>
        <w:rPr>
          <w:rFonts w:hint="cs"/>
          <w:i/>
          <w:iCs/>
          <w:sz w:val="22"/>
          <w:szCs w:val="22"/>
          <w:rtl/>
        </w:rPr>
      </w:pPr>
    </w:p>
    <w:p w14:paraId="463DE187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  <w:r w:rsidRPr="00AA2F5C">
        <w:rPr>
          <w:i/>
          <w:iCs/>
          <w:sz w:val="22"/>
          <w:szCs w:val="22"/>
          <w:rtl/>
        </w:rPr>
        <w:br w:type="page"/>
      </w:r>
      <w:r w:rsidRPr="00AA2F5C">
        <w:rPr>
          <w:rFonts w:hint="cs"/>
          <w:b/>
          <w:bCs/>
          <w:sz w:val="28"/>
          <w:szCs w:val="28"/>
          <w:rtl/>
        </w:rPr>
        <w:lastRenderedPageBreak/>
        <w:t>تعداد شعب</w:t>
      </w:r>
    </w:p>
    <w:p w14:paraId="4F01CDE9" w14:textId="77777777" w:rsidR="00AA2F5C" w:rsidRPr="00AA2F5C" w:rsidRDefault="00AA2F5C" w:rsidP="00AA2F5C">
      <w:pPr>
        <w:jc w:val="lowKashida"/>
        <w:rPr>
          <w:rFonts w:hint="cs"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تعداد شعب بانک برای سال مالی اخیر و پیش</w:t>
      </w:r>
      <w:r w:rsidRPr="00AA2F5C">
        <w:rPr>
          <w:rFonts w:hint="eastAsia"/>
          <w:sz w:val="28"/>
          <w:szCs w:val="28"/>
          <w:rtl/>
        </w:rPr>
        <w:t>‌</w:t>
      </w:r>
      <w:r w:rsidRPr="00AA2F5C">
        <w:rPr>
          <w:rFonts w:hint="cs"/>
          <w:sz w:val="28"/>
          <w:szCs w:val="28"/>
          <w:rtl/>
        </w:rPr>
        <w:t>بینی آن برای دو سال مالی آتی با فرض انجام و عدم انجام طرح به شرح جدول زیر می‌باشد.</w:t>
      </w:r>
    </w:p>
    <w:p w14:paraId="134543A1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tbl>
      <w:tblPr>
        <w:bidiVisual/>
        <w:tblW w:w="9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58"/>
        <w:gridCol w:w="1333"/>
        <w:gridCol w:w="1471"/>
        <w:gridCol w:w="1471"/>
        <w:gridCol w:w="1444"/>
        <w:gridCol w:w="1335"/>
      </w:tblGrid>
      <w:tr w:rsidR="00AA2F5C" w:rsidRPr="00AA2F5C" w14:paraId="04A65F22" w14:textId="77777777" w:rsidTr="00960BE9">
        <w:trPr>
          <w:jc w:val="center"/>
        </w:trPr>
        <w:tc>
          <w:tcPr>
            <w:tcW w:w="285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340451D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شرح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A84A45" w14:textId="373A1C8A" w:rsidR="00AA2F5C" w:rsidRPr="00AA2F5C" w:rsidRDefault="00AA2F5C" w:rsidP="00AA2F5C">
            <w:pPr>
              <w:jc w:val="center"/>
              <w:rPr>
                <w:rFonts w:hint="cs"/>
                <w:b/>
                <w:bCs/>
              </w:rPr>
            </w:pPr>
            <w:r w:rsidRPr="00AA2F5C">
              <w:rPr>
                <w:rFonts w:hint="cs"/>
                <w:b/>
                <w:bCs/>
                <w:rtl/>
              </w:rPr>
              <w:t>1*1</w:t>
            </w:r>
            <w:r w:rsidR="0010012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35FFA6" w14:textId="30D9547C" w:rsidR="00AA2F5C" w:rsidRPr="00AA2F5C" w:rsidRDefault="00AA2F5C" w:rsidP="00AA2F5C">
            <w:pPr>
              <w:jc w:val="center"/>
              <w:rPr>
                <w:rFonts w:hint="cs"/>
                <w:b/>
                <w:bCs/>
              </w:rPr>
            </w:pPr>
            <w:r w:rsidRPr="00AA2F5C">
              <w:rPr>
                <w:rFonts w:hint="cs"/>
                <w:b/>
                <w:bCs/>
                <w:rtl/>
              </w:rPr>
              <w:t>2*</w:t>
            </w:r>
            <w:r w:rsidR="00100120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9D6130" w14:textId="1658E563" w:rsidR="00AA2F5C" w:rsidRPr="00AA2F5C" w:rsidRDefault="00AA2F5C" w:rsidP="00AA2F5C">
            <w:pPr>
              <w:jc w:val="center"/>
              <w:rPr>
                <w:rFonts w:hint="cs"/>
                <w:b/>
                <w:bCs/>
              </w:rPr>
            </w:pPr>
            <w:r w:rsidRPr="00AA2F5C">
              <w:rPr>
                <w:rFonts w:hint="cs"/>
                <w:b/>
                <w:bCs/>
                <w:rtl/>
              </w:rPr>
              <w:t>3*1</w:t>
            </w:r>
            <w:r w:rsidR="00100120">
              <w:rPr>
                <w:rFonts w:hint="cs"/>
                <w:b/>
                <w:bCs/>
                <w:rtl/>
              </w:rPr>
              <w:t>4</w:t>
            </w:r>
          </w:p>
        </w:tc>
      </w:tr>
      <w:tr w:rsidR="00AA2F5C" w:rsidRPr="00AA2F5C" w14:paraId="0C9D08B9" w14:textId="77777777" w:rsidTr="00960BE9">
        <w:trPr>
          <w:jc w:val="center"/>
        </w:trPr>
        <w:tc>
          <w:tcPr>
            <w:tcW w:w="285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9C5604" w14:textId="77777777" w:rsidR="00AA2F5C" w:rsidRPr="00AA2F5C" w:rsidRDefault="00AA2F5C" w:rsidP="00AA2F5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719CE045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A54AAFB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با فرض انجام طرح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303907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با فرض عدم انجام طرح</w:t>
            </w:r>
          </w:p>
        </w:tc>
        <w:tc>
          <w:tcPr>
            <w:tcW w:w="14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086CDB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با فرض انجام طرح</w:t>
            </w:r>
          </w:p>
        </w:tc>
        <w:tc>
          <w:tcPr>
            <w:tcW w:w="13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44C095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با فرض عدم انجام طرح</w:t>
            </w:r>
          </w:p>
        </w:tc>
      </w:tr>
      <w:tr w:rsidR="00AA2F5C" w:rsidRPr="00AA2F5C" w14:paraId="3E5D0F09" w14:textId="77777777" w:rsidTr="00960BE9">
        <w:trPr>
          <w:jc w:val="center"/>
        </w:trPr>
        <w:tc>
          <w:tcPr>
            <w:tcW w:w="2858" w:type="dxa"/>
            <w:tcBorders>
              <w:top w:val="single" w:sz="12" w:space="0" w:color="auto"/>
              <w:bottom w:val="single" w:sz="6" w:space="0" w:color="auto"/>
            </w:tcBorders>
          </w:tcPr>
          <w:p w14:paraId="7F644698" w14:textId="77777777" w:rsidR="00AA2F5C" w:rsidRPr="00AA2F5C" w:rsidRDefault="00AA2F5C" w:rsidP="00AA2F5C">
            <w:pPr>
              <w:rPr>
                <w:rFonts w:hint="cs"/>
                <w:rtl/>
              </w:rPr>
            </w:pPr>
            <w:r w:rsidRPr="00AA2F5C">
              <w:rPr>
                <w:rFonts w:hint="cs"/>
                <w:rtl/>
              </w:rPr>
              <w:t>شعب استان تهران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6" w:space="0" w:color="auto"/>
            </w:tcBorders>
          </w:tcPr>
          <w:p w14:paraId="44F5278F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12" w:space="0" w:color="auto"/>
              <w:bottom w:val="single" w:sz="6" w:space="0" w:color="auto"/>
            </w:tcBorders>
          </w:tcPr>
          <w:p w14:paraId="0BFB79FC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12" w:space="0" w:color="auto"/>
              <w:bottom w:val="single" w:sz="6" w:space="0" w:color="auto"/>
            </w:tcBorders>
          </w:tcPr>
          <w:p w14:paraId="498374A4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531E84FA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6" w:space="0" w:color="auto"/>
            </w:tcBorders>
          </w:tcPr>
          <w:p w14:paraId="54E05D03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</w:tr>
      <w:tr w:rsidR="00AA2F5C" w:rsidRPr="00AA2F5C" w14:paraId="4CB54701" w14:textId="77777777" w:rsidTr="00960BE9">
        <w:trPr>
          <w:jc w:val="center"/>
        </w:trPr>
        <w:tc>
          <w:tcPr>
            <w:tcW w:w="2858" w:type="dxa"/>
            <w:tcBorders>
              <w:top w:val="single" w:sz="6" w:space="0" w:color="auto"/>
              <w:bottom w:val="single" w:sz="6" w:space="0" w:color="auto"/>
            </w:tcBorders>
          </w:tcPr>
          <w:p w14:paraId="1316A909" w14:textId="77777777" w:rsidR="00AA2F5C" w:rsidRPr="00AA2F5C" w:rsidRDefault="00AA2F5C" w:rsidP="00AA2F5C">
            <w:pPr>
              <w:rPr>
                <w:rFonts w:hint="cs"/>
                <w:rtl/>
              </w:rPr>
            </w:pPr>
            <w:r w:rsidRPr="00AA2F5C">
              <w:rPr>
                <w:rFonts w:hint="cs"/>
                <w:rtl/>
              </w:rPr>
              <w:t>شعب شهرستان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</w:tcPr>
          <w:p w14:paraId="675F6CCC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</w:tcBorders>
          </w:tcPr>
          <w:p w14:paraId="52DDC698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</w:tcBorders>
          </w:tcPr>
          <w:p w14:paraId="2118920F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44" w:type="dxa"/>
            <w:tcBorders>
              <w:top w:val="single" w:sz="6" w:space="0" w:color="auto"/>
              <w:bottom w:val="single" w:sz="6" w:space="0" w:color="auto"/>
            </w:tcBorders>
          </w:tcPr>
          <w:p w14:paraId="46A7FEF3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335" w:type="dxa"/>
            <w:tcBorders>
              <w:top w:val="single" w:sz="6" w:space="0" w:color="auto"/>
              <w:bottom w:val="single" w:sz="6" w:space="0" w:color="auto"/>
            </w:tcBorders>
          </w:tcPr>
          <w:p w14:paraId="35EC7E47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</w:tr>
      <w:tr w:rsidR="00AA2F5C" w:rsidRPr="00AA2F5C" w14:paraId="096F1D3D" w14:textId="77777777" w:rsidTr="00960BE9">
        <w:trPr>
          <w:jc w:val="center"/>
        </w:trPr>
        <w:tc>
          <w:tcPr>
            <w:tcW w:w="2858" w:type="dxa"/>
            <w:tcBorders>
              <w:top w:val="single" w:sz="6" w:space="0" w:color="auto"/>
              <w:bottom w:val="single" w:sz="6" w:space="0" w:color="auto"/>
            </w:tcBorders>
          </w:tcPr>
          <w:p w14:paraId="6171C9B4" w14:textId="77777777" w:rsidR="00AA2F5C" w:rsidRPr="00AA2F5C" w:rsidRDefault="00AA2F5C" w:rsidP="00AA2F5C">
            <w:pPr>
              <w:rPr>
                <w:rFonts w:hint="cs"/>
                <w:rtl/>
              </w:rPr>
            </w:pPr>
            <w:r w:rsidRPr="00AA2F5C">
              <w:rPr>
                <w:rFonts w:hint="cs"/>
                <w:rtl/>
              </w:rPr>
              <w:t>شعب مناطق آزاد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</w:tcPr>
          <w:p w14:paraId="6553DE26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</w:tcBorders>
          </w:tcPr>
          <w:p w14:paraId="5D7E36E3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</w:tcBorders>
          </w:tcPr>
          <w:p w14:paraId="4E0C8F8F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44" w:type="dxa"/>
            <w:tcBorders>
              <w:top w:val="single" w:sz="6" w:space="0" w:color="auto"/>
              <w:bottom w:val="single" w:sz="6" w:space="0" w:color="auto"/>
            </w:tcBorders>
          </w:tcPr>
          <w:p w14:paraId="52EC4CC5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335" w:type="dxa"/>
            <w:tcBorders>
              <w:top w:val="single" w:sz="6" w:space="0" w:color="auto"/>
              <w:bottom w:val="single" w:sz="6" w:space="0" w:color="auto"/>
            </w:tcBorders>
          </w:tcPr>
          <w:p w14:paraId="4E4A0A04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</w:tr>
      <w:tr w:rsidR="00AA2F5C" w:rsidRPr="00AA2F5C" w14:paraId="249CAB69" w14:textId="77777777" w:rsidTr="00960BE9">
        <w:trPr>
          <w:jc w:val="center"/>
        </w:trPr>
        <w:tc>
          <w:tcPr>
            <w:tcW w:w="2858" w:type="dxa"/>
            <w:tcBorders>
              <w:top w:val="single" w:sz="6" w:space="0" w:color="auto"/>
              <w:bottom w:val="single" w:sz="12" w:space="0" w:color="auto"/>
            </w:tcBorders>
          </w:tcPr>
          <w:p w14:paraId="06C16237" w14:textId="77777777" w:rsidR="00AA2F5C" w:rsidRPr="00AA2F5C" w:rsidRDefault="00AA2F5C" w:rsidP="00AA2F5C">
            <w:pPr>
              <w:rPr>
                <w:rFonts w:hint="cs"/>
                <w:rtl/>
              </w:rPr>
            </w:pPr>
            <w:r w:rsidRPr="00AA2F5C">
              <w:rPr>
                <w:rFonts w:hint="cs"/>
                <w:rtl/>
              </w:rPr>
              <w:t>شعب خارج از کشور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12" w:space="0" w:color="auto"/>
            </w:tcBorders>
          </w:tcPr>
          <w:p w14:paraId="43E17C2C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12" w:space="0" w:color="auto"/>
            </w:tcBorders>
          </w:tcPr>
          <w:p w14:paraId="3C65738F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12" w:space="0" w:color="auto"/>
            </w:tcBorders>
          </w:tcPr>
          <w:p w14:paraId="1B0F0B0B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444" w:type="dxa"/>
            <w:tcBorders>
              <w:top w:val="single" w:sz="6" w:space="0" w:color="auto"/>
              <w:bottom w:val="single" w:sz="12" w:space="0" w:color="auto"/>
            </w:tcBorders>
          </w:tcPr>
          <w:p w14:paraId="2B277386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  <w:tc>
          <w:tcPr>
            <w:tcW w:w="1335" w:type="dxa"/>
            <w:tcBorders>
              <w:top w:val="single" w:sz="6" w:space="0" w:color="auto"/>
              <w:bottom w:val="single" w:sz="12" w:space="0" w:color="auto"/>
            </w:tcBorders>
          </w:tcPr>
          <w:p w14:paraId="23879CF2" w14:textId="77777777" w:rsidR="00AA2F5C" w:rsidRPr="00AA2F5C" w:rsidRDefault="00AA2F5C" w:rsidP="00AA2F5C">
            <w:pPr>
              <w:rPr>
                <w:rFonts w:hint="cs"/>
                <w:rtl/>
              </w:rPr>
            </w:pPr>
          </w:p>
        </w:tc>
      </w:tr>
      <w:tr w:rsidR="00AA2F5C" w:rsidRPr="00AA2F5C" w14:paraId="46C2B762" w14:textId="77777777" w:rsidTr="00960BE9">
        <w:trPr>
          <w:jc w:val="center"/>
        </w:trPr>
        <w:tc>
          <w:tcPr>
            <w:tcW w:w="2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968972A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 xml:space="preserve">جمع 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C7BECB1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9341240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DACF3D2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F129F92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8808D8B" w14:textId="77777777" w:rsidR="00AA2F5C" w:rsidRPr="00AA2F5C" w:rsidRDefault="00AA2F5C" w:rsidP="00AA2F5C">
            <w:pPr>
              <w:rPr>
                <w:rFonts w:hint="cs"/>
                <w:b/>
                <w:bCs/>
                <w:rtl/>
              </w:rPr>
            </w:pPr>
          </w:p>
        </w:tc>
      </w:tr>
    </w:tbl>
    <w:p w14:paraId="3701F2AF" w14:textId="77777777" w:rsidR="00AA2F5C" w:rsidRPr="00AA2F5C" w:rsidRDefault="00AA2F5C" w:rsidP="00AA2F5C">
      <w:pPr>
        <w:rPr>
          <w:rFonts w:hint="cs"/>
          <w:sz w:val="28"/>
          <w:szCs w:val="28"/>
          <w:rtl/>
        </w:rPr>
      </w:pPr>
    </w:p>
    <w:p w14:paraId="60C7F35F" w14:textId="77777777" w:rsidR="00AA2F5C" w:rsidRPr="00AA2F5C" w:rsidRDefault="00AA2F5C" w:rsidP="00AA2F5C">
      <w:pPr>
        <w:rPr>
          <w:rFonts w:hint="cs"/>
          <w:b/>
          <w:bCs/>
          <w:sz w:val="28"/>
          <w:szCs w:val="28"/>
          <w:rtl/>
        </w:rPr>
      </w:pPr>
      <w:r w:rsidRPr="00AA2F5C">
        <w:rPr>
          <w:rFonts w:hint="cs"/>
          <w:b/>
          <w:bCs/>
          <w:sz w:val="28"/>
          <w:szCs w:val="28"/>
          <w:rtl/>
        </w:rPr>
        <w:t>نسبت کفایت سرمایه</w:t>
      </w:r>
    </w:p>
    <w:p w14:paraId="71D06E82" w14:textId="77777777" w:rsidR="00AA2F5C" w:rsidRPr="00AA2F5C" w:rsidRDefault="00AA2F5C" w:rsidP="00AA2F5C">
      <w:pPr>
        <w:jc w:val="lowKashida"/>
        <w:rPr>
          <w:rFonts w:hint="cs"/>
          <w:sz w:val="28"/>
          <w:szCs w:val="28"/>
          <w:rtl/>
        </w:rPr>
      </w:pPr>
      <w:r w:rsidRPr="00AA2F5C">
        <w:rPr>
          <w:rFonts w:hint="cs"/>
          <w:sz w:val="28"/>
          <w:szCs w:val="28"/>
          <w:rtl/>
        </w:rPr>
        <w:t>نسبت کفایت سرمایه که از تقسیم سرمایه پایه به دارایی‌های موزون شده بر حسب ریسک به‌دست می‌آید، طبق الزامات بانک مرکزی جمهوری اسلامی ایران باید حداقل 8 درصد باشد. نسبت کفایت سرمایه بانک در سال مالی اخیر و پیش</w:t>
      </w:r>
      <w:r w:rsidRPr="00AA2F5C">
        <w:rPr>
          <w:rFonts w:hint="eastAsia"/>
          <w:sz w:val="28"/>
          <w:szCs w:val="28"/>
          <w:rtl/>
        </w:rPr>
        <w:t>‌</w:t>
      </w:r>
      <w:r w:rsidRPr="00AA2F5C">
        <w:rPr>
          <w:rFonts w:hint="cs"/>
          <w:sz w:val="28"/>
          <w:szCs w:val="28"/>
          <w:rtl/>
        </w:rPr>
        <w:t>بینی آن برای سال مالی بعد با فرض انجام و عدم انجام طرح به شرح زیر است:</w:t>
      </w:r>
    </w:p>
    <w:p w14:paraId="642C59C0" w14:textId="77777777" w:rsidR="00AA2F5C" w:rsidRPr="00AA2F5C" w:rsidRDefault="00AA2F5C" w:rsidP="00AA2F5C">
      <w:pPr>
        <w:jc w:val="lowKashida"/>
        <w:rPr>
          <w:rFonts w:hint="cs"/>
          <w:i/>
          <w:iCs/>
          <w:sz w:val="22"/>
          <w:szCs w:val="22"/>
          <w:rtl/>
        </w:rPr>
      </w:pPr>
    </w:p>
    <w:tbl>
      <w:tblPr>
        <w:bidiVisual/>
        <w:tblW w:w="10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63"/>
        <w:gridCol w:w="1269"/>
        <w:gridCol w:w="1592"/>
        <w:gridCol w:w="1514"/>
      </w:tblGrid>
      <w:tr w:rsidR="00AA2F5C" w:rsidRPr="00AA2F5C" w14:paraId="53C2A32D" w14:textId="77777777" w:rsidTr="00696280">
        <w:trPr>
          <w:jc w:val="center"/>
        </w:trPr>
        <w:tc>
          <w:tcPr>
            <w:tcW w:w="596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7C0394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A1FCA9" w14:textId="77540414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1*</w:t>
            </w:r>
            <w:r w:rsidR="00100120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0566CC92" w14:textId="72870CD1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2*</w:t>
            </w:r>
            <w:r w:rsidR="00100120"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</w:tr>
      <w:tr w:rsidR="00AA2F5C" w:rsidRPr="00AA2F5C" w14:paraId="772113B2" w14:textId="77777777" w:rsidTr="00696280">
        <w:trPr>
          <w:jc w:val="center"/>
        </w:trPr>
        <w:tc>
          <w:tcPr>
            <w:tcW w:w="596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6CFAE0A4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6F88F7F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9E0A28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با فرض انجام طرح</w:t>
            </w: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DF8A6BA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rtl/>
              </w:rPr>
            </w:pPr>
            <w:r w:rsidRPr="00AA2F5C">
              <w:rPr>
                <w:rFonts w:hint="cs"/>
                <w:b/>
                <w:bCs/>
                <w:rtl/>
              </w:rPr>
              <w:t>با فرض عدم انجام طرح</w:t>
            </w:r>
          </w:p>
        </w:tc>
      </w:tr>
      <w:tr w:rsidR="00AA2F5C" w:rsidRPr="00AA2F5C" w14:paraId="0634B12F" w14:textId="77777777" w:rsidTr="00696280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FD83AE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سرمایه پرداخت</w:t>
            </w:r>
            <w:r w:rsidRPr="00AA2F5C">
              <w:rPr>
                <w:rFonts w:hint="eastAsia"/>
                <w:color w:val="000000"/>
                <w:rtl/>
              </w:rPr>
              <w:t>‌</w:t>
            </w:r>
            <w:r w:rsidRPr="00AA2F5C">
              <w:rPr>
                <w:rFonts w:hint="cs"/>
                <w:color w:val="000000"/>
                <w:rtl/>
              </w:rPr>
              <w:t>شده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6" w:space="0" w:color="auto"/>
            </w:tcBorders>
          </w:tcPr>
          <w:p w14:paraId="7AB1995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</w:tcPr>
          <w:p w14:paraId="0A5413A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834D2E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57D737A4" w14:textId="77777777" w:rsidTr="00696280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E18E3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اندوختۀ قانونی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6" w:space="0" w:color="auto"/>
            </w:tcBorders>
          </w:tcPr>
          <w:p w14:paraId="368D9AE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</w:tcPr>
          <w:p w14:paraId="717B581E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0617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343EACB9" w14:textId="77777777" w:rsidTr="00696280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E77A0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سایر اندوخته</w:t>
            </w:r>
            <w:r w:rsidRPr="00AA2F5C">
              <w:rPr>
                <w:rFonts w:hint="eastAsia"/>
                <w:color w:val="000000"/>
                <w:rtl/>
              </w:rPr>
              <w:t>‌</w:t>
            </w:r>
            <w:r w:rsidRPr="00AA2F5C">
              <w:rPr>
                <w:rFonts w:hint="cs"/>
                <w:color w:val="000000"/>
                <w:rtl/>
              </w:rPr>
              <w:t>ها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6" w:space="0" w:color="auto"/>
            </w:tcBorders>
          </w:tcPr>
          <w:p w14:paraId="6CC0284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</w:tcPr>
          <w:p w14:paraId="22D67FC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056C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6D1F6A81" w14:textId="77777777" w:rsidTr="00696280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74FC2A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سود انباشته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12" w:space="0" w:color="auto"/>
            </w:tcBorders>
          </w:tcPr>
          <w:p w14:paraId="19FAB1A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</w:tcPr>
          <w:p w14:paraId="417CFCD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FCF3B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1749AD4E" w14:textId="77777777" w:rsidTr="00696280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945D6C4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 سرمایه اصلی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4CF971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F0A2E88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4A7E00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A2F5C" w:rsidRPr="00AA2F5C" w14:paraId="6B0AF015" w14:textId="77777777" w:rsidTr="00696280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08A577E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ذخیره عمومی مطالبات و سرمایه‌گذاری‌ها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6" w:space="0" w:color="auto"/>
            </w:tcBorders>
          </w:tcPr>
          <w:p w14:paraId="564B1B3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</w:tcPr>
          <w:p w14:paraId="1A5F1D4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DF27F5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7F050751" w14:textId="77777777" w:rsidTr="00696280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A95589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کسر می‌شود: تعدیلات سرمایه درجه دو بابت مازاد 25/1 درصد دارایی‌های موزون شده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12" w:space="0" w:color="auto"/>
            </w:tcBorders>
          </w:tcPr>
          <w:p w14:paraId="04431EA6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</w:tcPr>
          <w:p w14:paraId="1DFB6A6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2E79D7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2C2B23AC" w14:textId="77777777" w:rsidTr="00696280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7EF6A2F0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 سرمایه تکمیلی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6D5BC6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0A9DF4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FE7D6D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A2F5C" w:rsidRPr="00AA2F5C" w14:paraId="0709015E" w14:textId="77777777" w:rsidTr="00696280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0E043E4D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جمع سرمایه پایه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53D6C805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71C43C8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10542480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A2F5C" w:rsidRPr="00AA2F5C" w14:paraId="0A356920" w14:textId="77777777" w:rsidTr="00696280">
        <w:trPr>
          <w:jc w:val="center"/>
        </w:trPr>
        <w:tc>
          <w:tcPr>
            <w:tcW w:w="5963" w:type="dxa"/>
            <w:tcBorders>
              <w:top w:val="single" w:sz="12" w:space="0" w:color="auto"/>
            </w:tcBorders>
            <w:shd w:val="clear" w:color="auto" w:fill="auto"/>
          </w:tcPr>
          <w:p w14:paraId="7F8635D5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جمع دارایی‌های موزون شده بر حسب ریسک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5ACC1F8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92" w:type="dxa"/>
            <w:tcBorders>
              <w:top w:val="single" w:sz="12" w:space="0" w:color="auto"/>
            </w:tcBorders>
          </w:tcPr>
          <w:p w14:paraId="63E2F86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14" w:type="dxa"/>
            <w:tcBorders>
              <w:top w:val="single" w:sz="12" w:space="0" w:color="auto"/>
            </w:tcBorders>
            <w:shd w:val="clear" w:color="auto" w:fill="auto"/>
          </w:tcPr>
          <w:p w14:paraId="155F75C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14C9024F" w14:textId="77777777" w:rsidTr="00696280">
        <w:trPr>
          <w:jc w:val="center"/>
        </w:trPr>
        <w:tc>
          <w:tcPr>
            <w:tcW w:w="5963" w:type="dxa"/>
            <w:shd w:val="clear" w:color="auto" w:fill="auto"/>
          </w:tcPr>
          <w:p w14:paraId="3E0E9557" w14:textId="77777777" w:rsidR="00AA2F5C" w:rsidRPr="00AA2F5C" w:rsidRDefault="00AA2F5C" w:rsidP="00AA2F5C">
            <w:pPr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نسبت کفایت سرمایه</w:t>
            </w:r>
          </w:p>
        </w:tc>
        <w:tc>
          <w:tcPr>
            <w:tcW w:w="1269" w:type="dxa"/>
          </w:tcPr>
          <w:p w14:paraId="50840498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92" w:type="dxa"/>
          </w:tcPr>
          <w:p w14:paraId="73B11AD3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14" w:type="dxa"/>
            <w:shd w:val="clear" w:color="auto" w:fill="auto"/>
          </w:tcPr>
          <w:p w14:paraId="6C5F082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14:paraId="7E6A5C73" w14:textId="77777777" w:rsidR="00AA2F5C" w:rsidRPr="00AA2F5C" w:rsidRDefault="00AA2F5C" w:rsidP="00AA2F5C">
      <w:pPr>
        <w:rPr>
          <w:b/>
          <w:bCs/>
          <w:rtl/>
        </w:rPr>
        <w:sectPr w:rsidR="00AA2F5C" w:rsidRPr="00AA2F5C" w:rsidSect="00A1631B">
          <w:headerReference w:type="default" r:id="rId10"/>
          <w:pgSz w:w="11907" w:h="16840" w:code="9"/>
          <w:pgMar w:top="1134" w:right="1077" w:bottom="720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51699A1E" w14:textId="77777777" w:rsidR="00AA2F5C" w:rsidRPr="00AA2F5C" w:rsidRDefault="00AA2F5C" w:rsidP="00AA2F5C">
      <w:pPr>
        <w:rPr>
          <w:rFonts w:hint="cs"/>
          <w:b/>
          <w:bCs/>
          <w:rtl/>
        </w:rPr>
      </w:pPr>
      <w:r w:rsidRPr="00AA2F5C">
        <w:rPr>
          <w:rFonts w:hint="cs"/>
          <w:b/>
          <w:bCs/>
          <w:rtl/>
        </w:rPr>
        <w:lastRenderedPageBreak/>
        <w:t>دارایی‌های موزون شده بر حسب ریسک</w:t>
      </w:r>
    </w:p>
    <w:tbl>
      <w:tblPr>
        <w:bidiVisual/>
        <w:tblW w:w="14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989"/>
        <w:gridCol w:w="783"/>
        <w:gridCol w:w="1489"/>
        <w:gridCol w:w="1275"/>
        <w:gridCol w:w="709"/>
        <w:gridCol w:w="1559"/>
        <w:gridCol w:w="780"/>
        <w:gridCol w:w="779"/>
        <w:gridCol w:w="1560"/>
      </w:tblGrid>
      <w:tr w:rsidR="00AA2F5C" w:rsidRPr="00AA2F5C" w14:paraId="5B696CC1" w14:textId="77777777" w:rsidTr="00960BE9">
        <w:trPr>
          <w:jc w:val="center"/>
        </w:trPr>
        <w:tc>
          <w:tcPr>
            <w:tcW w:w="47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4A51EE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rtl/>
              </w:rPr>
            </w:pPr>
            <w:r w:rsidRPr="00AA2F5C">
              <w:rPr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35F9EB" w14:textId="2A10058A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1*1</w:t>
            </w:r>
            <w:r w:rsidR="0095718F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</w:tcPr>
          <w:p w14:paraId="2AC179C6" w14:textId="01007010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</w:rPr>
            </w:pPr>
            <w:r w:rsidRPr="00AA2F5C">
              <w:rPr>
                <w:rFonts w:hint="cs"/>
                <w:b/>
                <w:bCs/>
                <w:color w:val="000000"/>
                <w:rtl/>
              </w:rPr>
              <w:t>2*1</w:t>
            </w:r>
            <w:r w:rsidR="0095718F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AA2F5C" w:rsidRPr="00AA2F5C" w14:paraId="3964DBF0" w14:textId="77777777" w:rsidTr="00960BE9">
        <w:trPr>
          <w:jc w:val="center"/>
        </w:trPr>
        <w:tc>
          <w:tcPr>
            <w:tcW w:w="47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67E216B" w14:textId="77777777" w:rsidR="00AA2F5C" w:rsidRPr="00AA2F5C" w:rsidRDefault="00AA2F5C" w:rsidP="00AA2F5C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D508FE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دارایی‏ها</w:t>
            </w:r>
          </w:p>
        </w:tc>
        <w:tc>
          <w:tcPr>
            <w:tcW w:w="7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C6F3A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ضریب</w:t>
            </w:r>
          </w:p>
          <w:p w14:paraId="0D7F3A46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ریسک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EB3DA9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دارایی تعدیل شده بر حسب ریسک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FA95902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با فرض انجام طرح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C868B0" w14:textId="77777777" w:rsidR="00AA2F5C" w:rsidRPr="00AA2F5C" w:rsidRDefault="00AA2F5C" w:rsidP="00AA2F5C">
            <w:pPr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با فرض عدم انجام طرح</w:t>
            </w:r>
          </w:p>
        </w:tc>
      </w:tr>
      <w:tr w:rsidR="00AA2F5C" w:rsidRPr="00AA2F5C" w14:paraId="3EFADF74" w14:textId="77777777" w:rsidTr="00960BE9">
        <w:trPr>
          <w:trHeight w:val="458"/>
          <w:jc w:val="center"/>
        </w:trPr>
        <w:tc>
          <w:tcPr>
            <w:tcW w:w="479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566246" w14:textId="77777777" w:rsidR="00AA2F5C" w:rsidRPr="00AA2F5C" w:rsidRDefault="00AA2F5C" w:rsidP="00AA2F5C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04FA56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8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8048617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89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98F9D2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B4C27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دارایی‏ها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95D6AF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ضریب</w:t>
            </w:r>
          </w:p>
          <w:p w14:paraId="6B599D90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ریسک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FE7AAC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دارایی تعدیل شده بر حسب ریسک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8B4FEEA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دارایی‏ها</w:t>
            </w:r>
          </w:p>
        </w:tc>
        <w:tc>
          <w:tcPr>
            <w:tcW w:w="7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A4161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ضریب</w:t>
            </w:r>
          </w:p>
          <w:p w14:paraId="2BF094AD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ریسک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847149" w14:textId="77777777" w:rsidR="00AA2F5C" w:rsidRPr="00AA2F5C" w:rsidRDefault="00AA2F5C" w:rsidP="00AA2F5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2F5C">
              <w:rPr>
                <w:b/>
                <w:bCs/>
                <w:color w:val="000000"/>
                <w:sz w:val="20"/>
                <w:szCs w:val="20"/>
                <w:rtl/>
              </w:rPr>
              <w:t>دارایی تعدیل شده بر حسب ریسک</w:t>
            </w:r>
          </w:p>
        </w:tc>
      </w:tr>
      <w:tr w:rsidR="00AA2F5C" w:rsidRPr="00AA2F5C" w14:paraId="3037A7F1" w14:textId="77777777" w:rsidTr="00960BE9">
        <w:trPr>
          <w:jc w:val="center"/>
        </w:trPr>
        <w:tc>
          <w:tcPr>
            <w:tcW w:w="47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B2821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موجودی نقد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91F3C4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59264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F00A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9691F1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D9E110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19BEF6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3B9B3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BF0059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7D3A7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7D1C22A2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28671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مطالبات از بانک مرکزی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75C783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7D982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43ABE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12751B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63F7B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F6E2A67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D674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072B9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E122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3E636021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99C69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 xml:space="preserve">مطالبات از </w:t>
            </w:r>
            <w:r w:rsidRPr="00AA2F5C">
              <w:rPr>
                <w:rFonts w:hint="cs"/>
                <w:color w:val="000000"/>
                <w:rtl/>
              </w:rPr>
              <w:t xml:space="preserve">سایر </w:t>
            </w:r>
            <w:r w:rsidRPr="00AA2F5C">
              <w:rPr>
                <w:color w:val="000000"/>
                <w:rtl/>
              </w:rPr>
              <w:t>بانک</w:t>
            </w:r>
            <w:r w:rsidRPr="00AA2F5C">
              <w:rPr>
                <w:rFonts w:hint="cs"/>
                <w:color w:val="000000"/>
                <w:rtl/>
              </w:rPr>
              <w:t>‌</w:t>
            </w:r>
            <w:r w:rsidRPr="00AA2F5C">
              <w:rPr>
                <w:color w:val="000000"/>
                <w:rtl/>
              </w:rPr>
              <w:t>ها</w:t>
            </w:r>
            <w:r w:rsidRPr="00AA2F5C">
              <w:rPr>
                <w:rFonts w:hint="cs"/>
                <w:color w:val="000000"/>
                <w:rtl/>
              </w:rPr>
              <w:t xml:space="preserve"> و مؤسسات اعتباری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A22FD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12918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54E3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275947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CFA22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9A4DBF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96AB8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03BDC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50F2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6E16CED9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BA05E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اوراق مشارکت دولتی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CF3E97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0B10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547B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BD2B5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3BB96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4B0385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D589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B5DB0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5E67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4CB4412D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0A4B72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اوراق مشارکت غیردولتی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1FD54E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AF82A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32A5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BECFD6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1A35F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8A5364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1FEF3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8545D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94FB9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AA2F5C" w:rsidRPr="00AA2F5C" w14:paraId="4101FF50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353470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سرمایه‌گذاری‌ها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629856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F9CA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9A38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9E2A13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4ED561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95CC6C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42244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64773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0058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4D41C6AD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AC7B08" w14:textId="77777777" w:rsidR="00AA2F5C" w:rsidRPr="00AA2F5C" w:rsidRDefault="00AA2F5C" w:rsidP="00AA2F5C">
            <w:pPr>
              <w:rPr>
                <w:rFonts w:hint="cs"/>
                <w:i/>
                <w:iCs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حساب‌های دریافتنی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7F882A6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9029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5C82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1FC63D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E5F76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2F0E21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F983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1ECDAC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4FD9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06137A3F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FAA7E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پیش‌پرداخت‌ها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9ECA73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71A1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0673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1540C2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250D1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6C31AF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D988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101A7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A94D9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352D02CB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58041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وام و تسهیلات اجاره به شرط تملیک و تسهیلات مسکن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9560E6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2BE76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18E2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B8685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754C1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7CB3BB7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EBFE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42A39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4C6D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4C953511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0F3AD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سایر وام‏ها و تسهیلات پرداختی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20F21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51A3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FB044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4E0B56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9CB397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A2B35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C825B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5CC8E2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35E4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3D742C95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1B481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خالص دارایی‏های ثابت و سرقفلی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167ED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0D175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45032E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97B36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98EDE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17AB37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2B2E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5C18E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F073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3381130E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F300A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سایر دارایی‏ها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42B64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819B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02DDE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04C7F0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B31B05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F206DF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27DD8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A1F04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34C546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29F39A36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4C70A" w14:textId="77777777" w:rsidR="00AA2F5C" w:rsidRPr="00AA2F5C" w:rsidRDefault="00AA2F5C" w:rsidP="00AA2F5C">
            <w:pPr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تضمین اوراق مشارکت بخش غیردولتی (ضریب 50 درصد)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14CB5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A64A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471D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11672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E4537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6A21BD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395F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D3D23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F2CB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18A868F7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DDC4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 xml:space="preserve">تعهدات بابت ضمانت‏نامه‏های صادره (ضریب </w:t>
            </w:r>
            <w:r w:rsidRPr="00AA2F5C">
              <w:rPr>
                <w:rFonts w:hint="cs"/>
                <w:color w:val="000000"/>
                <w:rtl/>
              </w:rPr>
              <w:t>تبدیل</w:t>
            </w:r>
            <w:r w:rsidRPr="00AA2F5C">
              <w:rPr>
                <w:color w:val="000000"/>
                <w:rtl/>
              </w:rPr>
              <w:t>20</w:t>
            </w:r>
            <w:r w:rsidRPr="00AA2F5C">
              <w:rPr>
                <w:rFonts w:hint="cs"/>
                <w:color w:val="000000"/>
                <w:rtl/>
              </w:rPr>
              <w:t xml:space="preserve"> </w:t>
            </w:r>
            <w:r w:rsidRPr="00AA2F5C">
              <w:rPr>
                <w:color w:val="000000"/>
                <w:rtl/>
              </w:rPr>
              <w:t>درصد)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B9B5B0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F150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750F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C48F06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AE0B5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ECB320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B322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0B6F2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7508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71D4264E" w14:textId="77777777" w:rsidTr="00960BE9">
        <w:trPr>
          <w:trHeight w:val="203"/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CF8820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تعهدات بابت قراردادهای منعقده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7A5F68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FC77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467C4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2CD98E2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EBEEF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79FD6CD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00599B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A4EB2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9F62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7E45E3A5" w14:textId="77777777" w:rsidTr="00960BE9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CE61C3" w14:textId="77777777" w:rsidR="00AA2F5C" w:rsidRPr="00AA2F5C" w:rsidRDefault="00AA2F5C" w:rsidP="00AA2F5C">
            <w:pPr>
              <w:rPr>
                <w:color w:val="000000"/>
                <w:rtl/>
              </w:rPr>
            </w:pPr>
            <w:r w:rsidRPr="00AA2F5C">
              <w:rPr>
                <w:color w:val="000000"/>
                <w:rtl/>
              </w:rPr>
              <w:t>تعهدات بابت اعتبارات اسنادی گشایش یافته</w:t>
            </w:r>
            <w:r w:rsidRPr="00AA2F5C">
              <w:rPr>
                <w:rFonts w:hint="cs"/>
                <w:color w:val="000000"/>
                <w:rtl/>
              </w:rPr>
              <w:t xml:space="preserve"> </w:t>
            </w:r>
            <w:r w:rsidRPr="00AA2F5C">
              <w:rPr>
                <w:color w:val="000000"/>
                <w:rtl/>
              </w:rPr>
              <w:t xml:space="preserve">(ضریب </w:t>
            </w:r>
            <w:r w:rsidRPr="00AA2F5C">
              <w:rPr>
                <w:rFonts w:hint="cs"/>
                <w:color w:val="000000"/>
                <w:rtl/>
              </w:rPr>
              <w:t>تعدیل2</w:t>
            </w:r>
            <w:r w:rsidRPr="00AA2F5C">
              <w:rPr>
                <w:color w:val="000000"/>
                <w:rtl/>
              </w:rPr>
              <w:t>0 درصد)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89778A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BBD329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0804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665AFA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0FA827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11B2B2F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887C8F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1F30BA" w14:textId="77777777" w:rsidR="00AA2F5C" w:rsidRPr="00AA2F5C" w:rsidRDefault="00AA2F5C" w:rsidP="00AA2F5C">
            <w:pPr>
              <w:jc w:val="center"/>
              <w:rPr>
                <w:rFonts w:hint="cs"/>
                <w:color w:val="000000"/>
                <w:rtl/>
              </w:rPr>
            </w:pPr>
            <w:r w:rsidRPr="00AA2F5C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9CFA9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  <w:tr w:rsidR="00AA2F5C" w:rsidRPr="00AA2F5C" w14:paraId="4AFF04AB" w14:textId="77777777" w:rsidTr="00960BE9">
        <w:trPr>
          <w:trHeight w:val="197"/>
          <w:jc w:val="center"/>
        </w:trPr>
        <w:tc>
          <w:tcPr>
            <w:tcW w:w="4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A3B26A6" w14:textId="77777777" w:rsidR="00AA2F5C" w:rsidRPr="00AA2F5C" w:rsidRDefault="00AA2F5C" w:rsidP="00AA2F5C">
            <w:pPr>
              <w:rPr>
                <w:b/>
                <w:bCs/>
                <w:color w:val="000000"/>
                <w:rtl/>
              </w:rPr>
            </w:pPr>
            <w:r w:rsidRPr="00AA2F5C">
              <w:rPr>
                <w:b/>
                <w:bCs/>
                <w:color w:val="000000"/>
                <w:rtl/>
              </w:rPr>
              <w:t>جمع دارایی‏های موزون شده بر حسب ریسک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A4682C0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E12CE6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85FAC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8F33DCC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696A535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C4CC3E3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803A8F1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F74F85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5683D28" w14:textId="77777777" w:rsidR="00AA2F5C" w:rsidRPr="00AA2F5C" w:rsidRDefault="00AA2F5C" w:rsidP="00AA2F5C">
            <w:pPr>
              <w:jc w:val="center"/>
              <w:rPr>
                <w:color w:val="000000"/>
                <w:rtl/>
              </w:rPr>
            </w:pPr>
          </w:p>
        </w:tc>
      </w:tr>
    </w:tbl>
    <w:p w14:paraId="66CA8B7E" w14:textId="77777777" w:rsidR="0047163B" w:rsidRPr="00733A15" w:rsidRDefault="0047163B" w:rsidP="00733A15"/>
    <w:sectPr w:rsidR="0047163B" w:rsidRPr="00733A15" w:rsidSect="00A1631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CDB8" w14:textId="77777777" w:rsidR="00A1631B" w:rsidRDefault="00A1631B" w:rsidP="008D2214">
      <w:r>
        <w:separator/>
      </w:r>
    </w:p>
  </w:endnote>
  <w:endnote w:type="continuationSeparator" w:id="0">
    <w:p w14:paraId="67752EFB" w14:textId="77777777" w:rsidR="00A1631B" w:rsidRDefault="00A1631B" w:rsidP="008D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9" w14:textId="77777777" w:rsidR="00A1631B" w:rsidRDefault="00A1631B" w:rsidP="008D2214">
      <w:r>
        <w:separator/>
      </w:r>
    </w:p>
  </w:footnote>
  <w:footnote w:type="continuationSeparator" w:id="0">
    <w:p w14:paraId="037ADEE1" w14:textId="77777777" w:rsidR="00A1631B" w:rsidRDefault="00A1631B" w:rsidP="008D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6152" w14:textId="77777777" w:rsidR="00AA2F5C" w:rsidRDefault="00AA2F5C">
    <w:pPr>
      <w:pStyle w:val="Header"/>
      <w:rPr>
        <w:rFonts w:hint="cs"/>
        <w:b/>
        <w:bCs/>
        <w:sz w:val="20"/>
        <w:szCs w:val="20"/>
        <w:rtl/>
      </w:rPr>
    </w:pPr>
  </w:p>
  <w:p w14:paraId="7F7953D0" w14:textId="77777777" w:rsidR="00AA2F5C" w:rsidRPr="00D81C23" w:rsidRDefault="00AA2F5C">
    <w:pPr>
      <w:pStyle w:val="Header"/>
      <w:rPr>
        <w:rFonts w:hint="cs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66CE" w14:textId="77777777" w:rsidR="00AA2F5C" w:rsidRPr="00D81C23" w:rsidRDefault="00AA2F5C">
    <w:pPr>
      <w:pStyle w:val="Header"/>
      <w:rPr>
        <w:rFonts w:hint="cs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1522" w14:textId="73AEA60F" w:rsidR="00AA2F5C" w:rsidRPr="00FD7A49" w:rsidRDefault="00AA2F5C" w:rsidP="00FD7A49">
    <w:pPr>
      <w:pStyle w:val="Header"/>
      <w:rPr>
        <w:rFonts w:hint="cs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DE8C" w14:textId="1A532DE7" w:rsidR="00AA2F5C" w:rsidRDefault="00AA2F5C">
    <w:pPr>
      <w:pStyle w:val="Header"/>
      <w:rPr>
        <w:rFonts w:hint="cs"/>
        <w:b/>
        <w:bCs/>
        <w:sz w:val="20"/>
        <w:szCs w:val="20"/>
        <w:rtl/>
      </w:rPr>
    </w:pPr>
  </w:p>
  <w:p w14:paraId="62524EA4" w14:textId="77777777" w:rsidR="00AA2F5C" w:rsidRPr="00D81C23" w:rsidRDefault="00AA2F5C">
    <w:pPr>
      <w:pStyle w:val="Header"/>
      <w:rPr>
        <w:rFonts w:hint="cs"/>
        <w:b/>
        <w:bCs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6A7A" w14:textId="5C45015B" w:rsidR="00D5237E" w:rsidRPr="001B56F8" w:rsidRDefault="00D5237E" w:rsidP="001B5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9B5"/>
    <w:multiLevelType w:val="hybridMultilevel"/>
    <w:tmpl w:val="EA7C5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FF5"/>
    <w:multiLevelType w:val="hybridMultilevel"/>
    <w:tmpl w:val="452AF36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C60"/>
    <w:multiLevelType w:val="hybridMultilevel"/>
    <w:tmpl w:val="A95A8D5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A79"/>
    <w:multiLevelType w:val="hybridMultilevel"/>
    <w:tmpl w:val="CD5A7D08"/>
    <w:lvl w:ilvl="0" w:tplc="0F28F180">
      <w:start w:val="1"/>
      <w:numFmt w:val="decimal"/>
      <w:lvlText w:val="(%1)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06A0"/>
    <w:multiLevelType w:val="hybridMultilevel"/>
    <w:tmpl w:val="36F0F00C"/>
    <w:lvl w:ilvl="0" w:tplc="80C81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26D"/>
    <w:multiLevelType w:val="hybridMultilevel"/>
    <w:tmpl w:val="156AD3C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3C72"/>
    <w:multiLevelType w:val="hybridMultilevel"/>
    <w:tmpl w:val="39944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F52F99"/>
    <w:multiLevelType w:val="hybridMultilevel"/>
    <w:tmpl w:val="D2E2B51A"/>
    <w:lvl w:ilvl="0" w:tplc="2126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4E83"/>
    <w:multiLevelType w:val="hybridMultilevel"/>
    <w:tmpl w:val="70F4B472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5F52"/>
    <w:multiLevelType w:val="hybridMultilevel"/>
    <w:tmpl w:val="0F50B75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87ED2"/>
    <w:multiLevelType w:val="hybridMultilevel"/>
    <w:tmpl w:val="1986A12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A5886"/>
    <w:multiLevelType w:val="hybridMultilevel"/>
    <w:tmpl w:val="C0BC8B5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F4AC4"/>
    <w:multiLevelType w:val="hybridMultilevel"/>
    <w:tmpl w:val="183625C0"/>
    <w:lvl w:ilvl="0" w:tplc="04090001">
      <w:start w:val="1"/>
      <w:numFmt w:val="bullet"/>
      <w:lvlText w:val=""/>
      <w:lvlJc w:val="left"/>
      <w:pPr>
        <w:tabs>
          <w:tab w:val="num" w:pos="1139"/>
        </w:tabs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abstractNum w:abstractNumId="13" w15:restartNumberingAfterBreak="0">
    <w:nsid w:val="32897845"/>
    <w:multiLevelType w:val="hybridMultilevel"/>
    <w:tmpl w:val="5EC4DD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1851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2AA60FA"/>
    <w:multiLevelType w:val="hybridMultilevel"/>
    <w:tmpl w:val="35BCEF22"/>
    <w:lvl w:ilvl="0" w:tplc="9B14D192">
      <w:start w:val="1"/>
      <w:numFmt w:val="arabicAbjad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3472C"/>
    <w:multiLevelType w:val="hybridMultilevel"/>
    <w:tmpl w:val="9FC4B782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DD0"/>
    <w:multiLevelType w:val="hybridMultilevel"/>
    <w:tmpl w:val="296C73C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E6319"/>
    <w:multiLevelType w:val="hybridMultilevel"/>
    <w:tmpl w:val="1FCE9F28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A0E71"/>
    <w:multiLevelType w:val="hybridMultilevel"/>
    <w:tmpl w:val="7BBA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C67CD0"/>
    <w:multiLevelType w:val="hybridMultilevel"/>
    <w:tmpl w:val="6FBAA2E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3137D"/>
    <w:multiLevelType w:val="hybridMultilevel"/>
    <w:tmpl w:val="851CFF40"/>
    <w:lvl w:ilvl="0" w:tplc="716A7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72EAD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Mitra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B4EFF"/>
    <w:multiLevelType w:val="hybridMultilevel"/>
    <w:tmpl w:val="9FA861DC"/>
    <w:lvl w:ilvl="0" w:tplc="15E2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4D80"/>
    <w:multiLevelType w:val="hybridMultilevel"/>
    <w:tmpl w:val="D7FEBDCC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1732B"/>
    <w:multiLevelType w:val="hybridMultilevel"/>
    <w:tmpl w:val="FB546B6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641C"/>
    <w:multiLevelType w:val="hybridMultilevel"/>
    <w:tmpl w:val="A75287B8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38D3"/>
    <w:multiLevelType w:val="hybridMultilevel"/>
    <w:tmpl w:val="01985CE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7DB"/>
    <w:multiLevelType w:val="hybridMultilevel"/>
    <w:tmpl w:val="296C73C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D90186"/>
    <w:multiLevelType w:val="hybridMultilevel"/>
    <w:tmpl w:val="58201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5021B2"/>
    <w:multiLevelType w:val="hybridMultilevel"/>
    <w:tmpl w:val="395A7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246A14"/>
    <w:multiLevelType w:val="hybridMultilevel"/>
    <w:tmpl w:val="98580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C11D60"/>
    <w:multiLevelType w:val="hybridMultilevel"/>
    <w:tmpl w:val="296C73C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357DF"/>
    <w:multiLevelType w:val="hybridMultilevel"/>
    <w:tmpl w:val="B1801F1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815B2"/>
    <w:multiLevelType w:val="hybridMultilevel"/>
    <w:tmpl w:val="6FBAA2E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F2E2A"/>
    <w:multiLevelType w:val="hybridMultilevel"/>
    <w:tmpl w:val="7632E32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8069D"/>
    <w:multiLevelType w:val="hybridMultilevel"/>
    <w:tmpl w:val="AEBE26B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A47CA"/>
    <w:multiLevelType w:val="hybridMultilevel"/>
    <w:tmpl w:val="87B00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0458CA"/>
    <w:multiLevelType w:val="hybridMultilevel"/>
    <w:tmpl w:val="F228A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F81150"/>
    <w:multiLevelType w:val="hybridMultilevel"/>
    <w:tmpl w:val="D302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6F88"/>
    <w:multiLevelType w:val="hybridMultilevel"/>
    <w:tmpl w:val="64EAC5A8"/>
    <w:lvl w:ilvl="0" w:tplc="6E2E7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00916"/>
    <w:multiLevelType w:val="hybridMultilevel"/>
    <w:tmpl w:val="70D8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140885">
    <w:abstractNumId w:val="12"/>
  </w:num>
  <w:num w:numId="2" w16cid:durableId="138117088">
    <w:abstractNumId w:val="0"/>
  </w:num>
  <w:num w:numId="3" w16cid:durableId="2016688495">
    <w:abstractNumId w:val="39"/>
  </w:num>
  <w:num w:numId="4" w16cid:durableId="348487121">
    <w:abstractNumId w:val="7"/>
  </w:num>
  <w:num w:numId="5" w16cid:durableId="2144040192">
    <w:abstractNumId w:val="38"/>
  </w:num>
  <w:num w:numId="6" w16cid:durableId="1242714955">
    <w:abstractNumId w:val="31"/>
  </w:num>
  <w:num w:numId="7" w16cid:durableId="506870328">
    <w:abstractNumId w:val="17"/>
  </w:num>
  <w:num w:numId="8" w16cid:durableId="1225801912">
    <w:abstractNumId w:val="2"/>
  </w:num>
  <w:num w:numId="9" w16cid:durableId="616907005">
    <w:abstractNumId w:val="5"/>
  </w:num>
  <w:num w:numId="10" w16cid:durableId="1574654714">
    <w:abstractNumId w:val="32"/>
  </w:num>
  <w:num w:numId="11" w16cid:durableId="1958564697">
    <w:abstractNumId w:val="18"/>
  </w:num>
  <w:num w:numId="12" w16cid:durableId="955141488">
    <w:abstractNumId w:val="27"/>
  </w:num>
  <w:num w:numId="13" w16cid:durableId="28535612">
    <w:abstractNumId w:val="28"/>
  </w:num>
  <w:num w:numId="14" w16cid:durableId="537930700">
    <w:abstractNumId w:val="19"/>
  </w:num>
  <w:num w:numId="15" w16cid:durableId="1978558951">
    <w:abstractNumId w:val="36"/>
  </w:num>
  <w:num w:numId="16" w16cid:durableId="2109082144">
    <w:abstractNumId w:val="30"/>
  </w:num>
  <w:num w:numId="17" w16cid:durableId="658729210">
    <w:abstractNumId w:val="16"/>
  </w:num>
  <w:num w:numId="18" w16cid:durableId="2127693279">
    <w:abstractNumId w:val="34"/>
  </w:num>
  <w:num w:numId="19" w16cid:durableId="1569804916">
    <w:abstractNumId w:val="26"/>
  </w:num>
  <w:num w:numId="20" w16cid:durableId="1840076209">
    <w:abstractNumId w:val="15"/>
  </w:num>
  <w:num w:numId="21" w16cid:durableId="671225054">
    <w:abstractNumId w:val="35"/>
  </w:num>
  <w:num w:numId="22" w16cid:durableId="823669505">
    <w:abstractNumId w:val="33"/>
  </w:num>
  <w:num w:numId="23" w16cid:durableId="1642692044">
    <w:abstractNumId w:val="6"/>
  </w:num>
  <w:num w:numId="24" w16cid:durableId="1583101887">
    <w:abstractNumId w:val="9"/>
  </w:num>
  <w:num w:numId="25" w16cid:durableId="1704012211">
    <w:abstractNumId w:val="3"/>
  </w:num>
  <w:num w:numId="26" w16cid:durableId="1667978765">
    <w:abstractNumId w:val="23"/>
  </w:num>
  <w:num w:numId="27" w16cid:durableId="2068645675">
    <w:abstractNumId w:val="4"/>
  </w:num>
  <w:num w:numId="28" w16cid:durableId="1041789064">
    <w:abstractNumId w:val="21"/>
  </w:num>
  <w:num w:numId="29" w16cid:durableId="1877884381">
    <w:abstractNumId w:val="25"/>
  </w:num>
  <w:num w:numId="30" w16cid:durableId="188031148">
    <w:abstractNumId w:val="8"/>
  </w:num>
  <w:num w:numId="31" w16cid:durableId="548614212">
    <w:abstractNumId w:val="10"/>
  </w:num>
  <w:num w:numId="32" w16cid:durableId="1700085960">
    <w:abstractNumId w:val="22"/>
  </w:num>
  <w:num w:numId="33" w16cid:durableId="129441947">
    <w:abstractNumId w:val="29"/>
  </w:num>
  <w:num w:numId="34" w16cid:durableId="193428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7234897">
    <w:abstractNumId w:val="24"/>
  </w:num>
  <w:num w:numId="36" w16cid:durableId="1643077250">
    <w:abstractNumId w:val="20"/>
  </w:num>
  <w:num w:numId="37" w16cid:durableId="18969683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6115369">
    <w:abstractNumId w:val="1"/>
  </w:num>
  <w:num w:numId="39" w16cid:durableId="1122072843">
    <w:abstractNumId w:val="37"/>
  </w:num>
  <w:num w:numId="40" w16cid:durableId="1790851627">
    <w:abstractNumId w:val="11"/>
  </w:num>
  <w:num w:numId="41" w16cid:durableId="18420872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820965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1583826">
    <w:abstractNumId w:val="13"/>
  </w:num>
  <w:num w:numId="44" w16cid:durableId="17635275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1E"/>
    <w:rsid w:val="000B4E5E"/>
    <w:rsid w:val="000D27C9"/>
    <w:rsid w:val="00100120"/>
    <w:rsid w:val="001B56F8"/>
    <w:rsid w:val="002A77C4"/>
    <w:rsid w:val="00340A05"/>
    <w:rsid w:val="0047163B"/>
    <w:rsid w:val="004866B6"/>
    <w:rsid w:val="0056211E"/>
    <w:rsid w:val="005B403C"/>
    <w:rsid w:val="005E2F7C"/>
    <w:rsid w:val="00696280"/>
    <w:rsid w:val="00733A15"/>
    <w:rsid w:val="007B60AB"/>
    <w:rsid w:val="00815250"/>
    <w:rsid w:val="00836893"/>
    <w:rsid w:val="008D2214"/>
    <w:rsid w:val="0095718F"/>
    <w:rsid w:val="009D0147"/>
    <w:rsid w:val="00A1532F"/>
    <w:rsid w:val="00A1631B"/>
    <w:rsid w:val="00A95244"/>
    <w:rsid w:val="00AA2F5C"/>
    <w:rsid w:val="00AC1400"/>
    <w:rsid w:val="00B21F32"/>
    <w:rsid w:val="00BF7395"/>
    <w:rsid w:val="00D01D2C"/>
    <w:rsid w:val="00D206C4"/>
    <w:rsid w:val="00D5237E"/>
    <w:rsid w:val="00DD4492"/>
    <w:rsid w:val="00E13F11"/>
    <w:rsid w:val="00EB7E3C"/>
    <w:rsid w:val="00F95C37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298A"/>
  <w15:chartTrackingRefBased/>
  <w15:docId w15:val="{19DB2C7D-AB86-4EA1-A73A-EF12AD3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AB"/>
    <w:pPr>
      <w:bidi/>
      <w:spacing w:after="0" w:line="240" w:lineRule="auto"/>
    </w:pPr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NoList1">
    <w:name w:val="No List1"/>
    <w:next w:val="NoList"/>
    <w:semiHidden/>
    <w:rsid w:val="00B21F32"/>
  </w:style>
  <w:style w:type="table" w:styleId="TableGrid">
    <w:name w:val="Table Grid"/>
    <w:basedOn w:val="TableNormal"/>
    <w:rsid w:val="00B21F3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21F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1F32"/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character" w:styleId="PageNumber">
    <w:name w:val="page number"/>
    <w:basedOn w:val="DefaultParagraphFont"/>
    <w:rsid w:val="00B21F32"/>
  </w:style>
  <w:style w:type="paragraph" w:styleId="Header">
    <w:name w:val="header"/>
    <w:basedOn w:val="Normal"/>
    <w:link w:val="HeaderChar"/>
    <w:rsid w:val="00B21F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1F32"/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table" w:styleId="TableWeb2">
    <w:name w:val="Table Web 2"/>
    <w:basedOn w:val="TableNormal"/>
    <w:rsid w:val="00B21F3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B21F32"/>
    <w:rPr>
      <w:color w:val="0000FF"/>
      <w:u w:val="single"/>
    </w:rPr>
  </w:style>
  <w:style w:type="paragraph" w:styleId="BodyText">
    <w:name w:val="Body Text"/>
    <w:basedOn w:val="Normal"/>
    <w:link w:val="BodyTextChar"/>
    <w:rsid w:val="00B21F32"/>
    <w:pPr>
      <w:spacing w:after="120"/>
    </w:pPr>
    <w:rPr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B21F32"/>
    <w:rPr>
      <w:rFonts w:ascii="Times New Roman" w:eastAsia="Times New Roman" w:hAnsi="Times New Roman" w:cs="B Mitra"/>
      <w:kern w:val="0"/>
      <w:sz w:val="28"/>
      <w:szCs w:val="28"/>
      <w14:ligatures w14:val="none"/>
    </w:rPr>
  </w:style>
  <w:style w:type="paragraph" w:styleId="BodyTextIndent3">
    <w:name w:val="Body Text Indent 3"/>
    <w:basedOn w:val="Normal"/>
    <w:link w:val="BodyTextIndent3Char"/>
    <w:rsid w:val="00B21F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1F32"/>
    <w:rPr>
      <w:rFonts w:ascii="Times New Roman" w:eastAsia="Times New Roman" w:hAnsi="Times New Roman" w:cs="B Mitra"/>
      <w:kern w:val="0"/>
      <w:sz w:val="16"/>
      <w:szCs w:val="16"/>
      <w:lang w:bidi="fa-IR"/>
      <w14:ligatures w14:val="none"/>
    </w:rPr>
  </w:style>
  <w:style w:type="paragraph" w:styleId="BalloonText">
    <w:name w:val="Balloon Text"/>
    <w:basedOn w:val="Normal"/>
    <w:link w:val="BalloonTextChar"/>
    <w:rsid w:val="00B2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F32"/>
    <w:rPr>
      <w:rFonts w:ascii="Tahoma" w:eastAsia="Times New Roman" w:hAnsi="Tahoma" w:cs="Tahoma"/>
      <w:kern w:val="0"/>
      <w:sz w:val="16"/>
      <w:szCs w:val="16"/>
      <w:lang w:bidi="fa-IR"/>
      <w14:ligatures w14:val="none"/>
    </w:rPr>
  </w:style>
  <w:style w:type="character" w:styleId="CommentReference">
    <w:name w:val="annotation reference"/>
    <w:rsid w:val="00B21F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1F32"/>
    <w:rPr>
      <w:rFonts w:ascii="Times New Roman" w:eastAsia="Times New Roman" w:hAnsi="Times New Roman" w:cs="B Mitra"/>
      <w:kern w:val="0"/>
      <w:sz w:val="20"/>
      <w:szCs w:val="20"/>
      <w:lang w:bidi="fa-I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B2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1F32"/>
    <w:rPr>
      <w:rFonts w:ascii="Times New Roman" w:eastAsia="Times New Roman" w:hAnsi="Times New Roman" w:cs="B Mitra"/>
      <w:b/>
      <w:bCs/>
      <w:kern w:val="0"/>
      <w:sz w:val="20"/>
      <w:szCs w:val="20"/>
      <w:lang w:bidi="fa-IR"/>
      <w14:ligatures w14:val="none"/>
    </w:rPr>
  </w:style>
  <w:style w:type="paragraph" w:styleId="Caption">
    <w:name w:val="caption"/>
    <w:basedOn w:val="Normal"/>
    <w:next w:val="Normal"/>
    <w:unhideWhenUsed/>
    <w:qFormat/>
    <w:rsid w:val="00B21F32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21F32"/>
    <w:pPr>
      <w:spacing w:after="200" w:line="276" w:lineRule="auto"/>
      <w:ind w:left="720"/>
      <w:contextualSpacing/>
      <w:jc w:val="both"/>
    </w:pPr>
    <w:rPr>
      <w:rFonts w:eastAsia="Calibri"/>
      <w:szCs w:val="28"/>
    </w:rPr>
  </w:style>
  <w:style w:type="paragraph" w:styleId="FootnoteText">
    <w:name w:val="footnote text"/>
    <w:basedOn w:val="Normal"/>
    <w:link w:val="FootnoteTextChar"/>
    <w:rsid w:val="00B21F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1F32"/>
    <w:rPr>
      <w:rFonts w:ascii="Times New Roman" w:eastAsia="Times New Roman" w:hAnsi="Times New Roman" w:cs="B Mitra"/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rsid w:val="00B21F3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B60A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B60AB"/>
    <w:pPr>
      <w:bidi w:val="0"/>
      <w:spacing w:before="100" w:beforeAutospacing="1" w:after="100" w:afterAutospacing="1"/>
    </w:pPr>
    <w:rPr>
      <w:rFonts w:cs="Times New Roman"/>
      <w:lang w:bidi="ar-SA"/>
    </w:rPr>
  </w:style>
  <w:style w:type="paragraph" w:styleId="Revision">
    <w:name w:val="Revision"/>
    <w:uiPriority w:val="99"/>
    <w:semiHidden/>
    <w:rsid w:val="007B60AB"/>
    <w:pPr>
      <w:spacing w:after="0" w:line="240" w:lineRule="auto"/>
    </w:pPr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table" w:customStyle="1" w:styleId="TableWeb21">
    <w:name w:val="Table Web 21"/>
    <w:basedOn w:val="TableNormal"/>
    <w:next w:val="TableWeb2"/>
    <w:rsid w:val="00AA2F5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AA2F5C"/>
    <w:rPr>
      <w:rFonts w:ascii="Times New Roman" w:eastAsia="Calibri" w:hAnsi="Times New Roman" w:cs="B Mitra"/>
      <w:kern w:val="0"/>
      <w:sz w:val="24"/>
      <w:szCs w:val="28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Tanaz Zolghadr</dc:creator>
  <cp:keywords/>
  <dc:description/>
  <cp:lastModifiedBy>Tanaz Zolghadr</cp:lastModifiedBy>
  <cp:revision>31</cp:revision>
  <dcterms:created xsi:type="dcterms:W3CDTF">2024-01-30T11:51:00Z</dcterms:created>
  <dcterms:modified xsi:type="dcterms:W3CDTF">2024-01-30T12:04:00Z</dcterms:modified>
</cp:coreProperties>
</file>